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5F8" w:rsidRDefault="00C64182" w:rsidP="00C64182">
      <w:pPr>
        <w:rPr>
          <w:b/>
          <w:sz w:val="56"/>
          <w:szCs w:val="56"/>
          <w:bdr w:val="none" w:sz="0" w:space="0" w:color="auto" w:frame="1"/>
        </w:rPr>
      </w:pPr>
      <w:r w:rsidRPr="00C64182">
        <w:rPr>
          <w:b/>
          <w:bdr w:val="none" w:sz="0" w:space="0" w:color="auto" w:frame="1"/>
        </w:rPr>
        <w:t xml:space="preserve">                      </w:t>
      </w:r>
      <w:r w:rsidR="00F149D1" w:rsidRPr="00C64182">
        <w:rPr>
          <w:b/>
          <w:sz w:val="56"/>
          <w:szCs w:val="56"/>
          <w:bdr w:val="none" w:sz="0" w:space="0" w:color="auto" w:frame="1"/>
        </w:rPr>
        <w:t xml:space="preserve">Резюмета на публикациите </w:t>
      </w:r>
    </w:p>
    <w:p w:rsidR="009035F8" w:rsidRDefault="009035F8" w:rsidP="00C64182">
      <w:pPr>
        <w:rPr>
          <w:b/>
          <w:sz w:val="56"/>
          <w:szCs w:val="56"/>
          <w:bdr w:val="none" w:sz="0" w:space="0" w:color="auto" w:frame="1"/>
        </w:rPr>
      </w:pPr>
      <w:r>
        <w:rPr>
          <w:b/>
          <w:sz w:val="56"/>
          <w:szCs w:val="56"/>
          <w:bdr w:val="none" w:sz="0" w:space="0" w:color="auto" w:frame="1"/>
        </w:rPr>
        <w:t xml:space="preserve">        на Петър Василев Данчев</w:t>
      </w:r>
    </w:p>
    <w:p w:rsidR="00F149D1" w:rsidRPr="00C64182" w:rsidRDefault="009035F8" w:rsidP="00C64182">
      <w:pPr>
        <w:rPr>
          <w:b/>
          <w:sz w:val="56"/>
          <w:szCs w:val="56"/>
          <w:bdr w:val="none" w:sz="0" w:space="0" w:color="auto" w:frame="1"/>
          <w:lang w:val="en-US"/>
        </w:rPr>
      </w:pPr>
      <w:r>
        <w:rPr>
          <w:b/>
          <w:sz w:val="56"/>
          <w:szCs w:val="56"/>
          <w:bdr w:val="none" w:sz="0" w:space="0" w:color="auto" w:frame="1"/>
        </w:rPr>
        <w:t xml:space="preserve">                                </w:t>
      </w:r>
      <w:r w:rsidR="00F149D1" w:rsidRPr="00C64182">
        <w:rPr>
          <w:b/>
          <w:sz w:val="56"/>
          <w:szCs w:val="56"/>
          <w:bdr w:val="none" w:sz="0" w:space="0" w:color="auto" w:frame="1"/>
        </w:rPr>
        <w:t xml:space="preserve">за </w:t>
      </w:r>
      <w:r w:rsidR="00F149D1" w:rsidRPr="00C64182">
        <w:rPr>
          <w:b/>
          <w:sz w:val="56"/>
          <w:szCs w:val="56"/>
          <w:bdr w:val="none" w:sz="0" w:space="0" w:color="auto" w:frame="1"/>
          <w:lang w:val="en-US"/>
        </w:rPr>
        <w:t xml:space="preserve">              </w:t>
      </w:r>
    </w:p>
    <w:p w:rsidR="00C64182" w:rsidRPr="00C64182" w:rsidRDefault="009035F8" w:rsidP="00C64182">
      <w:pPr>
        <w:rPr>
          <w:b/>
          <w:sz w:val="56"/>
          <w:szCs w:val="56"/>
          <w:bdr w:val="none" w:sz="0" w:space="0" w:color="auto" w:frame="1"/>
        </w:rPr>
      </w:pPr>
      <w:r>
        <w:rPr>
          <w:b/>
          <w:sz w:val="56"/>
          <w:szCs w:val="56"/>
          <w:bdr w:val="none" w:sz="0" w:space="0" w:color="auto" w:frame="1"/>
          <w:lang w:val="en-US"/>
        </w:rPr>
        <w:t xml:space="preserve">               </w:t>
      </w:r>
      <w:r w:rsidR="00F149D1" w:rsidRPr="00C64182">
        <w:rPr>
          <w:b/>
          <w:sz w:val="56"/>
          <w:szCs w:val="56"/>
          <w:bdr w:val="none" w:sz="0" w:space="0" w:color="auto" w:frame="1"/>
        </w:rPr>
        <w:t>участие в конкурса</w:t>
      </w:r>
      <w:r w:rsidR="00C64182" w:rsidRPr="00C64182">
        <w:rPr>
          <w:b/>
          <w:sz w:val="56"/>
          <w:szCs w:val="56"/>
          <w:bdr w:val="none" w:sz="0" w:space="0" w:color="auto" w:frame="1"/>
        </w:rPr>
        <w:t xml:space="preserve"> за </w:t>
      </w:r>
    </w:p>
    <w:p w:rsidR="000E561D" w:rsidRDefault="009035F8" w:rsidP="00C64182">
      <w:pPr>
        <w:rPr>
          <w:b/>
          <w:sz w:val="56"/>
          <w:szCs w:val="56"/>
          <w:bdr w:val="none" w:sz="0" w:space="0" w:color="auto" w:frame="1"/>
        </w:rPr>
      </w:pPr>
      <w:r>
        <w:rPr>
          <w:b/>
          <w:sz w:val="56"/>
          <w:szCs w:val="56"/>
          <w:bdr w:val="none" w:sz="0" w:space="0" w:color="auto" w:frame="1"/>
        </w:rPr>
        <w:t xml:space="preserve">                       </w:t>
      </w:r>
      <w:r w:rsidR="00C64182">
        <w:rPr>
          <w:b/>
          <w:sz w:val="56"/>
          <w:szCs w:val="56"/>
          <w:bdr w:val="none" w:sz="0" w:space="0" w:color="auto" w:frame="1"/>
        </w:rPr>
        <w:t>„</w:t>
      </w:r>
      <w:r w:rsidR="00C64182" w:rsidRPr="00C64182">
        <w:rPr>
          <w:b/>
          <w:sz w:val="56"/>
          <w:szCs w:val="56"/>
          <w:bdr w:val="none" w:sz="0" w:space="0" w:color="auto" w:frame="1"/>
        </w:rPr>
        <w:t>Професор</w:t>
      </w:r>
      <w:r w:rsidR="00C64182">
        <w:rPr>
          <w:b/>
          <w:sz w:val="56"/>
          <w:szCs w:val="56"/>
          <w:bdr w:val="none" w:sz="0" w:space="0" w:color="auto" w:frame="1"/>
        </w:rPr>
        <w:t>“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 w:rsidRPr="009B6F0C">
        <w:rPr>
          <w:rFonts w:ascii="Segoe UI" w:hAnsi="Segoe UI" w:cs="Segoe UI"/>
          <w:color w:val="1D2228"/>
          <w:sz w:val="20"/>
          <w:szCs w:val="20"/>
          <w:shd w:val="clear" w:color="auto" w:fill="FFFFFF"/>
          <w:lang w:val="en-US"/>
        </w:rPr>
        <w:t>[1]</w:t>
      </w:r>
      <w:r>
        <w:rPr>
          <w:rFonts w:ascii="Segoe UI" w:hAnsi="Segoe UI" w:cs="Segoe UI"/>
          <w:color w:val="1D2228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TI10" w:hAnsi="CMTI10" w:cs="CMTI10"/>
          <w:i/>
          <w:iCs/>
          <w:sz w:val="20"/>
          <w:szCs w:val="20"/>
        </w:rPr>
        <w:t xml:space="preserve">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generalization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π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regular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Turk</w:t>
      </w:r>
      <w:proofErr w:type="spellEnd"/>
      <w:r>
        <w:rPr>
          <w:rFonts w:ascii="CMR10" w:hAnsi="CMR10" w:cs="CMR10"/>
          <w:sz w:val="20"/>
          <w:szCs w:val="20"/>
        </w:rPr>
        <w:t xml:space="preserve">. J.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(2)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 xml:space="preserve">43 </w:t>
      </w:r>
      <w:r>
        <w:rPr>
          <w:rFonts w:ascii="CMR10" w:hAnsi="CMR10" w:cs="CMR10"/>
          <w:sz w:val="20"/>
          <w:szCs w:val="20"/>
        </w:rPr>
        <w:t>(2019), 702-711.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Pr="00604AB5" w:rsidRDefault="00D56630" w:rsidP="00D56630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Pr="00D865C8">
        <w:t xml:space="preserve"> </w:t>
      </w:r>
      <w:r w:rsidR="009601C8">
        <w:rPr>
          <w:rFonts w:cs="CMR10"/>
          <w:sz w:val="20"/>
          <w:szCs w:val="20"/>
        </w:rPr>
        <w:t>.</w:t>
      </w:r>
      <w:r w:rsidR="009601C8">
        <w:rPr>
          <w:rFonts w:cs="CMR10"/>
          <w:sz w:val="20"/>
          <w:szCs w:val="20"/>
          <w:lang w:val="en-US"/>
        </w:rPr>
        <w:t xml:space="preserve"> </w:t>
      </w:r>
      <w:r w:rsidR="009601C8">
        <w:rPr>
          <w:rFonts w:cs="CMR10"/>
          <w:sz w:val="20"/>
          <w:szCs w:val="20"/>
        </w:rPr>
        <w:t xml:space="preserve">Доказано е, че </w:t>
      </w:r>
      <w:r w:rsidR="009601C8">
        <w:rPr>
          <w:rFonts w:cstheme="minorHAnsi"/>
          <w:sz w:val="20"/>
          <w:szCs w:val="20"/>
        </w:rPr>
        <w:t>π</w:t>
      </w:r>
      <w:r w:rsidR="009601C8">
        <w:rPr>
          <w:rFonts w:cs="CMR10"/>
          <w:sz w:val="20"/>
          <w:szCs w:val="20"/>
        </w:rPr>
        <w:t xml:space="preserve">-регулярните пръстени са винаги регулярни </w:t>
      </w:r>
      <w:proofErr w:type="spellStart"/>
      <w:r w:rsidR="009601C8">
        <w:rPr>
          <w:rFonts w:cs="CMR10"/>
          <w:sz w:val="20"/>
          <w:szCs w:val="20"/>
        </w:rPr>
        <w:t>нил</w:t>
      </w:r>
      <w:proofErr w:type="spellEnd"/>
      <w:r w:rsidR="009601C8">
        <w:rPr>
          <w:rFonts w:cs="CMR10"/>
          <w:sz w:val="20"/>
          <w:szCs w:val="20"/>
        </w:rPr>
        <w:t xml:space="preserve">-чисти и също така, че съществува регулярно </w:t>
      </w:r>
      <w:proofErr w:type="spellStart"/>
      <w:r w:rsidR="009601C8">
        <w:rPr>
          <w:rFonts w:cs="CMR10"/>
          <w:sz w:val="20"/>
          <w:szCs w:val="20"/>
        </w:rPr>
        <w:t>нил</w:t>
      </w:r>
      <w:proofErr w:type="spellEnd"/>
      <w:r w:rsidR="009601C8">
        <w:rPr>
          <w:rFonts w:cs="CMR10"/>
          <w:sz w:val="20"/>
          <w:szCs w:val="20"/>
        </w:rPr>
        <w:t xml:space="preserve">-чист пръстен, който е </w:t>
      </w:r>
      <w:proofErr w:type="spellStart"/>
      <w:r w:rsidR="009601C8">
        <w:rPr>
          <w:rFonts w:cs="CMR10"/>
          <w:sz w:val="20"/>
          <w:szCs w:val="20"/>
        </w:rPr>
        <w:t>нил</w:t>
      </w:r>
      <w:proofErr w:type="spellEnd"/>
      <w:r w:rsidR="009601C8">
        <w:rPr>
          <w:rFonts w:cs="CMR10"/>
          <w:sz w:val="20"/>
          <w:szCs w:val="20"/>
        </w:rPr>
        <w:t xml:space="preserve">-чист, но </w:t>
      </w:r>
      <w:r w:rsidR="009601C8" w:rsidRPr="00F20D94">
        <w:rPr>
          <w:rFonts w:cs="CMR10"/>
          <w:b/>
          <w:sz w:val="20"/>
          <w:szCs w:val="20"/>
        </w:rPr>
        <w:t>не</w:t>
      </w:r>
      <w:r w:rsidR="009601C8">
        <w:rPr>
          <w:rFonts w:cs="CMR10"/>
          <w:sz w:val="20"/>
          <w:szCs w:val="20"/>
        </w:rPr>
        <w:t xml:space="preserve"> е </w:t>
      </w:r>
      <w:r w:rsidR="009601C8">
        <w:rPr>
          <w:rFonts w:cstheme="minorHAnsi"/>
          <w:sz w:val="20"/>
          <w:szCs w:val="20"/>
        </w:rPr>
        <w:t>π</w:t>
      </w:r>
      <w:r w:rsidR="009601C8">
        <w:rPr>
          <w:rFonts w:cs="CMR10"/>
          <w:sz w:val="20"/>
          <w:szCs w:val="20"/>
        </w:rPr>
        <w:t>-регулярен. Използвани са разнообразни методи за доказателство на получените резултати от теория на пръстените.</w:t>
      </w:r>
      <w:r w:rsidR="009601C8">
        <w:rPr>
          <w:rFonts w:cs="CMR10"/>
          <w:sz w:val="20"/>
          <w:szCs w:val="20"/>
          <w:lang w:val="en-US"/>
        </w:rPr>
        <w:t xml:space="preserve"> </w:t>
      </w:r>
      <w:r w:rsidR="009601C8">
        <w:rPr>
          <w:rFonts w:cs="CMR10"/>
          <w:sz w:val="20"/>
          <w:szCs w:val="20"/>
        </w:rPr>
        <w:t>Въведени са и така наречените „</w:t>
      </w:r>
      <w:r w:rsidR="009601C8">
        <w:rPr>
          <w:rFonts w:cs="CMR10"/>
          <w:sz w:val="20"/>
          <w:szCs w:val="20"/>
          <w:lang w:val="en-US"/>
        </w:rPr>
        <w:t>D-</w:t>
      </w:r>
      <w:proofErr w:type="spellStart"/>
      <w:r w:rsidR="009601C8">
        <w:rPr>
          <w:rFonts w:cs="CMR10"/>
          <w:sz w:val="20"/>
          <w:szCs w:val="20"/>
        </w:rPr>
        <w:t>нил</w:t>
      </w:r>
      <w:proofErr w:type="spellEnd"/>
      <w:r w:rsidR="009601C8">
        <w:rPr>
          <w:rFonts w:cs="CMR10"/>
          <w:sz w:val="20"/>
          <w:szCs w:val="20"/>
        </w:rPr>
        <w:t xml:space="preserve">-чисти“ пръстени и са изучени в детайли техните характеристични свойства, като са сравнени с тези на класическите </w:t>
      </w:r>
      <w:proofErr w:type="spellStart"/>
      <w:r w:rsidR="009601C8">
        <w:rPr>
          <w:rFonts w:cs="CMR10"/>
          <w:sz w:val="20"/>
          <w:szCs w:val="20"/>
        </w:rPr>
        <w:t>нил</w:t>
      </w:r>
      <w:proofErr w:type="spellEnd"/>
      <w:r w:rsidR="009601C8">
        <w:rPr>
          <w:rFonts w:cs="CMR10"/>
          <w:sz w:val="20"/>
          <w:szCs w:val="20"/>
        </w:rPr>
        <w:t>-чисти пръстени.</w:t>
      </w:r>
    </w:p>
    <w:p w:rsidR="00D56630" w:rsidRPr="009B6F0C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[2]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proofErr w:type="gram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property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nilpotent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algebraically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closed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Chebyshevskii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Sbornik</w:t>
      </w:r>
      <w:proofErr w:type="spellEnd"/>
      <w:r>
        <w:rPr>
          <w:rFonts w:ascii="CMR10" w:hAnsi="CMR10" w:cs="CMR10"/>
          <w:sz w:val="20"/>
          <w:szCs w:val="20"/>
        </w:rPr>
        <w:t xml:space="preserve"> (3) </w:t>
      </w:r>
      <w:r>
        <w:rPr>
          <w:rFonts w:ascii="CMBX10" w:hAnsi="CMBX10" w:cs="CMBX10"/>
          <w:b/>
          <w:bCs/>
          <w:sz w:val="20"/>
          <w:szCs w:val="20"/>
        </w:rPr>
        <w:t xml:space="preserve">20 </w:t>
      </w:r>
      <w:r>
        <w:rPr>
          <w:rFonts w:ascii="CMR10" w:hAnsi="CMR10" w:cs="CMR10"/>
          <w:sz w:val="20"/>
          <w:szCs w:val="20"/>
        </w:rPr>
        <w:t>(2019), 276-279.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8D3754">
        <w:rPr>
          <w:rFonts w:cs="CMR10"/>
          <w:sz w:val="20"/>
          <w:szCs w:val="20"/>
        </w:rPr>
        <w:t>Разглеждат възможните разлагания на произволни (</w:t>
      </w:r>
      <w:proofErr w:type="spellStart"/>
      <w:r w:rsidR="008D3754">
        <w:rPr>
          <w:rFonts w:cs="CMR10"/>
          <w:sz w:val="20"/>
          <w:szCs w:val="20"/>
        </w:rPr>
        <w:t>нилпотентни</w:t>
      </w:r>
      <w:proofErr w:type="spellEnd"/>
      <w:r w:rsidR="008D3754">
        <w:rPr>
          <w:rFonts w:cs="CMR10"/>
          <w:sz w:val="20"/>
          <w:szCs w:val="20"/>
        </w:rPr>
        <w:t xml:space="preserve">) квадратни матрици като сума на специални елементи над алгебрически затворени или произволни крайни полета в сума на специални елементи. Получени са окончателни резултати над такива полета от типа: Всяка квадратна матрица от произволен размер се разлага като сума на две матрици, първата от която е периодична матрица (или при някои допълнителни условия тя е потентна матрица), а втората е </w:t>
      </w:r>
      <w:proofErr w:type="spellStart"/>
      <w:r w:rsidR="008D3754">
        <w:rPr>
          <w:rFonts w:cs="CMR10"/>
          <w:sz w:val="20"/>
          <w:szCs w:val="20"/>
        </w:rPr>
        <w:t>нилпотентна</w:t>
      </w:r>
      <w:proofErr w:type="spellEnd"/>
      <w:r w:rsidR="008D3754">
        <w:rPr>
          <w:rFonts w:cs="CMR10"/>
          <w:sz w:val="20"/>
          <w:szCs w:val="20"/>
        </w:rPr>
        <w:t xml:space="preserve"> матрица от специален тип. Използвани са методи от различно естество за доказателство на основните резултати.</w:t>
      </w:r>
    </w:p>
    <w:p w:rsidR="008D3754" w:rsidRDefault="008D3754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[3]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Representing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square-zero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diagonal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Chebyshevskii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Sbornik</w:t>
      </w:r>
      <w:proofErr w:type="spellEnd"/>
      <w:r>
        <w:rPr>
          <w:rFonts w:ascii="CMR10" w:hAnsi="CMR10" w:cs="CMR10"/>
          <w:sz w:val="20"/>
          <w:szCs w:val="20"/>
        </w:rPr>
        <w:t xml:space="preserve"> (3) </w:t>
      </w:r>
      <w:r>
        <w:rPr>
          <w:rFonts w:ascii="CMBX10" w:hAnsi="CMBX10" w:cs="CMBX10"/>
          <w:b/>
          <w:bCs/>
          <w:sz w:val="20"/>
          <w:szCs w:val="20"/>
        </w:rPr>
        <w:t xml:space="preserve">21 </w:t>
      </w:r>
      <w:r>
        <w:rPr>
          <w:rFonts w:ascii="CMR10" w:hAnsi="CMR10" w:cs="CMR10"/>
          <w:sz w:val="20"/>
          <w:szCs w:val="20"/>
        </w:rPr>
        <w:t>(2020), 84-88.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8D3754" w:rsidRDefault="00D56630" w:rsidP="00D56630">
      <w:pPr>
        <w:autoSpaceDE w:val="0"/>
        <w:autoSpaceDN w:val="0"/>
        <w:adjustRightInd w:val="0"/>
        <w:spacing w:after="0" w:line="240" w:lineRule="auto"/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Pr="00991AB3">
        <w:t xml:space="preserve"> </w:t>
      </w:r>
      <w:r w:rsidR="008D3754">
        <w:t xml:space="preserve">Доказваме, че всяка квадратна матрица над произволно безкрайно поле е сума на </w:t>
      </w:r>
      <w:proofErr w:type="spellStart"/>
      <w:r w:rsidR="008D3754">
        <w:t>нилпотентна</w:t>
      </w:r>
      <w:proofErr w:type="spellEnd"/>
      <w:r w:rsidR="008D3754">
        <w:t xml:space="preserve"> матрица от ред 2 и </w:t>
      </w:r>
      <w:proofErr w:type="spellStart"/>
      <w:r w:rsidR="008D3754">
        <w:t>диагонализируема</w:t>
      </w:r>
      <w:proofErr w:type="spellEnd"/>
      <w:r w:rsidR="008D3754">
        <w:t xml:space="preserve"> матрица. Този резултат по някакъв начин контрастира със скорошна теорема на </w:t>
      </w:r>
      <w:proofErr w:type="spellStart"/>
      <w:r w:rsidR="008D3754">
        <w:t>Брез</w:t>
      </w:r>
      <w:proofErr w:type="spellEnd"/>
      <w:r w:rsidR="008D3754">
        <w:t>, публикувана в Лин. Алгебра и Приложения (2018).</w:t>
      </w:r>
    </w:p>
    <w:p w:rsidR="008D3754" w:rsidRDefault="008D3754" w:rsidP="00D56630">
      <w:pPr>
        <w:autoSpaceDE w:val="0"/>
        <w:autoSpaceDN w:val="0"/>
        <w:adjustRightInd w:val="0"/>
        <w:spacing w:after="0" w:line="240" w:lineRule="auto"/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cs="CMR10"/>
          <w:sz w:val="20"/>
          <w:szCs w:val="20"/>
          <w:lang w:val="en-US"/>
        </w:rPr>
        <w:t xml:space="preserve">[4]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>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Certain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properties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with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applications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Rev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Colomb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</w:t>
      </w:r>
      <w:proofErr w:type="spellEnd"/>
      <w:r>
        <w:rPr>
          <w:rFonts w:ascii="CMR10" w:hAnsi="CMR10" w:cs="CMR10"/>
          <w:sz w:val="20"/>
          <w:szCs w:val="20"/>
        </w:rPr>
        <w:t xml:space="preserve">. (2) </w:t>
      </w:r>
      <w:r>
        <w:rPr>
          <w:rFonts w:ascii="CMBX10" w:hAnsi="CMBX10" w:cs="CMBX10"/>
          <w:b/>
          <w:bCs/>
          <w:sz w:val="20"/>
          <w:szCs w:val="20"/>
        </w:rPr>
        <w:t xml:space="preserve">54 </w:t>
      </w:r>
      <w:r>
        <w:rPr>
          <w:rFonts w:ascii="CMR10" w:hAnsi="CMR10" w:cs="CMR10"/>
          <w:sz w:val="20"/>
          <w:szCs w:val="20"/>
        </w:rPr>
        <w:t>(2020), 109-116.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8D3754" w:rsidRPr="008D3754">
        <w:rPr>
          <w:caps/>
          <w:sz w:val="24"/>
          <w:szCs w:val="24"/>
        </w:rPr>
        <w:t>Р</w:t>
      </w:r>
      <w:r w:rsidR="008D3754">
        <w:rPr>
          <w:rFonts w:cs="CMR10"/>
          <w:sz w:val="20"/>
          <w:szCs w:val="20"/>
        </w:rPr>
        <w:t>азглеждат възможните разлагания на произволни (</w:t>
      </w:r>
      <w:proofErr w:type="spellStart"/>
      <w:r w:rsidR="008D3754">
        <w:rPr>
          <w:rFonts w:cs="CMR10"/>
          <w:sz w:val="20"/>
          <w:szCs w:val="20"/>
        </w:rPr>
        <w:t>нилпотентни</w:t>
      </w:r>
      <w:proofErr w:type="spellEnd"/>
      <w:r w:rsidR="008D3754">
        <w:rPr>
          <w:rFonts w:cs="CMR10"/>
          <w:sz w:val="20"/>
          <w:szCs w:val="20"/>
        </w:rPr>
        <w:t xml:space="preserve">) квадратни матрици като сума на специални елементи над алгебрически затворени или произволни крайни полета в сума на специални елементи. Получени са окончателни резултати над такива полета от типа: Всяка квадратна матрица от произволен размер се разлага като сума на две матрици, първата от която е периодична матрица (или при някои допълнителни условия тя е потентна матрица), а втората е </w:t>
      </w:r>
      <w:proofErr w:type="spellStart"/>
      <w:r w:rsidR="008D3754">
        <w:rPr>
          <w:rFonts w:cs="CMR10"/>
          <w:sz w:val="20"/>
          <w:szCs w:val="20"/>
        </w:rPr>
        <w:t>нилпотентна</w:t>
      </w:r>
      <w:proofErr w:type="spellEnd"/>
      <w:r w:rsidR="008D3754">
        <w:rPr>
          <w:rFonts w:cs="CMR10"/>
          <w:sz w:val="20"/>
          <w:szCs w:val="20"/>
        </w:rPr>
        <w:t xml:space="preserve"> матрица от специален тип. Използвани са методи от различно естество за доказателство на основните резултати.</w:t>
      </w:r>
    </w:p>
    <w:p w:rsidR="00F03248" w:rsidRDefault="00F03248" w:rsidP="00F03248">
      <w:pPr>
        <w:jc w:val="both"/>
        <w:rPr>
          <w:rFonts w:cs="CMR10"/>
          <w:sz w:val="20"/>
          <w:szCs w:val="20"/>
        </w:rPr>
      </w:pPr>
      <w:r>
        <w:rPr>
          <w:rFonts w:cs="CMR10"/>
          <w:sz w:val="20"/>
          <w:szCs w:val="20"/>
        </w:rPr>
        <w:t>В допълнение са разгледани и някои директни приложения в теория на пръстените.</w:t>
      </w:r>
    </w:p>
    <w:p w:rsidR="008D3754" w:rsidRDefault="008D3754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lastRenderedPageBreak/>
        <w:t xml:space="preserve">[5]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D. D. </w:t>
      </w:r>
      <w:proofErr w:type="spellStart"/>
      <w:r>
        <w:rPr>
          <w:rFonts w:ascii="CMR10" w:hAnsi="CMR10" w:cs="CMR10"/>
          <w:sz w:val="20"/>
          <w:szCs w:val="20"/>
        </w:rPr>
        <w:t>Anderson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gramStart"/>
      <w:r>
        <w:rPr>
          <w:rFonts w:ascii="CMTI10" w:hAnsi="CMTI10" w:cs="CMTI10"/>
          <w:i/>
          <w:iCs/>
          <w:sz w:val="20"/>
          <w:szCs w:val="20"/>
        </w:rPr>
        <w:t>A</w:t>
      </w:r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note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theorem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Jacobson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related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Proc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Amer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Soc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148 </w:t>
      </w:r>
      <w:r>
        <w:rPr>
          <w:rFonts w:ascii="CMR10" w:hAnsi="CMR10" w:cs="CMR10"/>
          <w:sz w:val="20"/>
          <w:szCs w:val="20"/>
        </w:rPr>
        <w:t>(2020), 5087-5089.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F03248" w:rsidRPr="00F03248">
        <w:rPr>
          <w:caps/>
          <w:sz w:val="24"/>
          <w:szCs w:val="24"/>
        </w:rPr>
        <w:t>О</w:t>
      </w:r>
      <w:r w:rsidR="00F03248">
        <w:rPr>
          <w:rFonts w:cs="CMR10"/>
          <w:sz w:val="20"/>
          <w:szCs w:val="20"/>
        </w:rPr>
        <w:t>бобщават известни класически резултати, например като „</w:t>
      </w:r>
      <w:r w:rsidR="00F03248" w:rsidRPr="00D9207D">
        <w:rPr>
          <w:rFonts w:cs="CMR10"/>
          <w:i/>
          <w:sz w:val="20"/>
          <w:szCs w:val="20"/>
        </w:rPr>
        <w:t xml:space="preserve">теоремата на </w:t>
      </w:r>
      <w:proofErr w:type="spellStart"/>
      <w:r w:rsidR="00F03248" w:rsidRPr="00D9207D">
        <w:rPr>
          <w:rFonts w:cs="CMR10"/>
          <w:i/>
          <w:sz w:val="20"/>
          <w:szCs w:val="20"/>
        </w:rPr>
        <w:t>Дже</w:t>
      </w:r>
      <w:r w:rsidR="00F03248">
        <w:rPr>
          <w:rFonts w:cs="CMR10"/>
          <w:i/>
          <w:sz w:val="20"/>
          <w:szCs w:val="20"/>
        </w:rPr>
        <w:t>й</w:t>
      </w:r>
      <w:r w:rsidR="00F03248" w:rsidRPr="00D9207D">
        <w:rPr>
          <w:rFonts w:cs="CMR10"/>
          <w:i/>
          <w:sz w:val="20"/>
          <w:szCs w:val="20"/>
        </w:rPr>
        <w:t>кобс</w:t>
      </w:r>
      <w:r w:rsidR="00F03248">
        <w:rPr>
          <w:rFonts w:cs="CMR10"/>
          <w:i/>
          <w:sz w:val="20"/>
          <w:szCs w:val="20"/>
        </w:rPr>
        <w:t>ъ</w:t>
      </w:r>
      <w:r w:rsidR="00F03248" w:rsidRPr="00D9207D">
        <w:rPr>
          <w:rFonts w:cs="CMR10"/>
          <w:i/>
          <w:sz w:val="20"/>
          <w:szCs w:val="20"/>
        </w:rPr>
        <w:t>н</w:t>
      </w:r>
      <w:proofErr w:type="spellEnd"/>
      <w:r w:rsidR="00F03248">
        <w:rPr>
          <w:rFonts w:cs="CMR10"/>
          <w:sz w:val="20"/>
          <w:szCs w:val="20"/>
        </w:rPr>
        <w:t xml:space="preserve">“ за </w:t>
      </w:r>
      <w:proofErr w:type="spellStart"/>
      <w:r w:rsidR="00F03248">
        <w:rPr>
          <w:rFonts w:cs="CMR10"/>
          <w:sz w:val="20"/>
          <w:szCs w:val="20"/>
        </w:rPr>
        <w:t>комутативност</w:t>
      </w:r>
      <w:proofErr w:type="spellEnd"/>
      <w:r w:rsidR="00F03248">
        <w:rPr>
          <w:rFonts w:cs="CMR10"/>
          <w:sz w:val="20"/>
          <w:szCs w:val="20"/>
        </w:rPr>
        <w:t xml:space="preserve"> на потентните пръстени/алгебри.</w:t>
      </w:r>
    </w:p>
    <w:p w:rsidR="00F03248" w:rsidRDefault="00F03248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ascii="CMR10" w:hAnsi="CMR10" w:cs="CMR10"/>
          <w:sz w:val="20"/>
          <w:szCs w:val="20"/>
          <w:lang w:val="en-US"/>
        </w:rPr>
        <w:t xml:space="preserve">[6]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Cui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Some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new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characterizations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>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J.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  <w:lang w:val="en-US"/>
        </w:rPr>
        <w:t xml:space="preserve">&amp; </w:t>
      </w:r>
      <w:proofErr w:type="spellStart"/>
      <w:r>
        <w:rPr>
          <w:rFonts w:ascii="CMR10" w:hAnsi="CMR10" w:cs="CMR10"/>
          <w:sz w:val="20"/>
          <w:szCs w:val="20"/>
        </w:rPr>
        <w:t>Appl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19 </w:t>
      </w:r>
      <w:r>
        <w:rPr>
          <w:rFonts w:ascii="CMR10" w:hAnsi="CMR10" w:cs="CMR10"/>
          <w:sz w:val="20"/>
          <w:szCs w:val="20"/>
        </w:rPr>
        <w:t>(2020).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7C62D9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7C62D9" w:rsidRPr="007C62D9">
        <w:rPr>
          <w:caps/>
          <w:sz w:val="24"/>
          <w:szCs w:val="24"/>
        </w:rPr>
        <w:t>Д</w:t>
      </w:r>
      <w:r w:rsidR="007C62D9">
        <w:rPr>
          <w:rFonts w:cs="CMR10"/>
          <w:sz w:val="20"/>
          <w:szCs w:val="20"/>
        </w:rPr>
        <w:t xml:space="preserve">ават някои нови съществени и нетривиални </w:t>
      </w:r>
      <w:proofErr w:type="spellStart"/>
      <w:r w:rsidR="007C62D9">
        <w:rPr>
          <w:rFonts w:cs="CMR10"/>
          <w:sz w:val="20"/>
          <w:szCs w:val="20"/>
        </w:rPr>
        <w:t>характеризации</w:t>
      </w:r>
      <w:proofErr w:type="spellEnd"/>
      <w:r w:rsidR="007C62D9">
        <w:rPr>
          <w:rFonts w:cs="CMR10"/>
          <w:sz w:val="20"/>
          <w:szCs w:val="20"/>
        </w:rPr>
        <w:t xml:space="preserve"> на добре известните „</w:t>
      </w:r>
      <w:r w:rsidR="007C62D9" w:rsidRPr="00AD73F8">
        <w:rPr>
          <w:rFonts w:cs="CMR10"/>
          <w:i/>
          <w:sz w:val="20"/>
          <w:szCs w:val="20"/>
        </w:rPr>
        <w:t>периодични пръстени</w:t>
      </w:r>
      <w:r w:rsidR="007C62D9">
        <w:rPr>
          <w:rFonts w:cs="CMR10"/>
          <w:sz w:val="20"/>
          <w:szCs w:val="20"/>
        </w:rPr>
        <w:t xml:space="preserve">“, като за целта са разработени някои нови идеи и методи. По-специално, намерено е необходимо и достатъчно условие кога един пръстен е периодичен в термините на обратими елементи съчетани с </w:t>
      </w:r>
      <w:r w:rsidR="007C62D9">
        <w:rPr>
          <w:rFonts w:cstheme="minorHAnsi"/>
          <w:sz w:val="20"/>
          <w:szCs w:val="20"/>
        </w:rPr>
        <w:t>π</w:t>
      </w:r>
      <w:r w:rsidR="007C62D9">
        <w:rPr>
          <w:rFonts w:cs="CMR10"/>
          <w:sz w:val="20"/>
          <w:szCs w:val="20"/>
        </w:rPr>
        <w:t xml:space="preserve">-регулярни елементи (вж. Теорема 3.4). Някои матрични резултати за общия матричен пръстен са също доказани в Следствие 3.6. В допълнение, в последната част на статията са разгледани така наречените </w:t>
      </w:r>
      <w:r w:rsidR="007C62D9">
        <w:rPr>
          <w:rFonts w:ascii="Cambria Math" w:hAnsi="Cambria Math" w:cs="Cambria Math"/>
        </w:rPr>
        <w:t>∗</w:t>
      </w:r>
      <w:r w:rsidR="007C62D9">
        <w:t>-</w:t>
      </w:r>
      <w:r w:rsidR="007C62D9" w:rsidRPr="00902679">
        <w:rPr>
          <w:sz w:val="20"/>
          <w:szCs w:val="20"/>
        </w:rPr>
        <w:t>периодични</w:t>
      </w:r>
      <w:r w:rsidR="007C62D9">
        <w:t xml:space="preserve"> </w:t>
      </w:r>
      <w:r w:rsidR="007C62D9">
        <w:rPr>
          <w:sz w:val="20"/>
          <w:szCs w:val="20"/>
        </w:rPr>
        <w:t>пръстени и е установено, че тези два класа са независими един от друг.</w:t>
      </w:r>
    </w:p>
    <w:p w:rsidR="007C62D9" w:rsidRDefault="007C62D9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[7]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proofErr w:type="gram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some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decompositions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algebraically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closed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finite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R10" w:hAnsi="CMR10" w:cs="CMR10"/>
          <w:sz w:val="20"/>
          <w:szCs w:val="20"/>
        </w:rPr>
        <w:t xml:space="preserve">, J. </w:t>
      </w:r>
      <w:proofErr w:type="spellStart"/>
      <w:r>
        <w:rPr>
          <w:rFonts w:ascii="CMR10" w:hAnsi="CMR10" w:cs="CMR10"/>
          <w:sz w:val="20"/>
          <w:szCs w:val="20"/>
        </w:rPr>
        <w:t>Siberian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Federal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University</w:t>
      </w:r>
      <w:proofErr w:type="spellEnd"/>
      <w:r>
        <w:rPr>
          <w:rFonts w:ascii="CMR10" w:hAnsi="CMR10" w:cs="CMR10"/>
          <w:sz w:val="20"/>
          <w:szCs w:val="20"/>
        </w:rPr>
        <w:t xml:space="preserve"> - </w:t>
      </w:r>
      <w:proofErr w:type="spellStart"/>
      <w:r>
        <w:rPr>
          <w:rFonts w:ascii="CMR10" w:hAnsi="CMR10" w:cs="CMR10"/>
          <w:sz w:val="20"/>
          <w:szCs w:val="20"/>
        </w:rPr>
        <w:t>Mathematics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Physics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(5) </w:t>
      </w:r>
      <w:r>
        <w:rPr>
          <w:rFonts w:ascii="CMBX10" w:hAnsi="CMBX10" w:cs="CMBX10"/>
          <w:b/>
          <w:bCs/>
          <w:sz w:val="20"/>
          <w:szCs w:val="20"/>
        </w:rPr>
        <w:t xml:space="preserve">14 </w:t>
      </w:r>
      <w:r>
        <w:rPr>
          <w:rFonts w:ascii="CMR10" w:hAnsi="CMR10" w:cs="CMR10"/>
          <w:sz w:val="20"/>
          <w:szCs w:val="20"/>
        </w:rPr>
        <w:t>(2021),</w:t>
      </w:r>
      <w:r w:rsidRPr="00273BF7">
        <w:t xml:space="preserve"> </w:t>
      </w:r>
      <w:r>
        <w:t>547-553</w:t>
      </w:r>
      <w:r>
        <w:rPr>
          <w:rFonts w:ascii="CMR10" w:hAnsi="CMR10" w:cs="CMR10"/>
          <w:sz w:val="20"/>
          <w:szCs w:val="20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8D3754" w:rsidRPr="008D3754">
        <w:rPr>
          <w:caps/>
          <w:sz w:val="24"/>
          <w:szCs w:val="24"/>
        </w:rPr>
        <w:t>Р</w:t>
      </w:r>
      <w:r w:rsidR="008D3754">
        <w:rPr>
          <w:rFonts w:cs="CMR10"/>
          <w:sz w:val="20"/>
          <w:szCs w:val="20"/>
        </w:rPr>
        <w:t>азглеждат възможните разлагания на произволни (</w:t>
      </w:r>
      <w:proofErr w:type="spellStart"/>
      <w:r w:rsidR="008D3754">
        <w:rPr>
          <w:rFonts w:cs="CMR10"/>
          <w:sz w:val="20"/>
          <w:szCs w:val="20"/>
        </w:rPr>
        <w:t>нилпотентни</w:t>
      </w:r>
      <w:proofErr w:type="spellEnd"/>
      <w:r w:rsidR="008D3754">
        <w:rPr>
          <w:rFonts w:cs="CMR10"/>
          <w:sz w:val="20"/>
          <w:szCs w:val="20"/>
        </w:rPr>
        <w:t xml:space="preserve">) квадратни матрици като сума на специални елементи над алгебрически затворени или произволни крайни полета в сума на специални елементи. Получени са окончателни резултати над такива полета от типа: Всяка квадратна матрица от произволен размер се разлага като сума на две матрици, първата от която е периодична матрица (или при някои допълнителни условия тя е потентна матрица), а втората е </w:t>
      </w:r>
      <w:proofErr w:type="spellStart"/>
      <w:r w:rsidR="008D3754">
        <w:rPr>
          <w:rFonts w:cs="CMR10"/>
          <w:sz w:val="20"/>
          <w:szCs w:val="20"/>
        </w:rPr>
        <w:t>нилпотентна</w:t>
      </w:r>
      <w:proofErr w:type="spellEnd"/>
      <w:r w:rsidR="008D3754">
        <w:rPr>
          <w:rFonts w:cs="CMR10"/>
          <w:sz w:val="20"/>
          <w:szCs w:val="20"/>
        </w:rPr>
        <w:t xml:space="preserve"> матрица от специален тип. Използвани са методи от различно естество за доказателство на основните резултати.</w:t>
      </w:r>
    </w:p>
    <w:p w:rsidR="008D3754" w:rsidRDefault="008D3754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[8]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A. </w:t>
      </w:r>
      <w:proofErr w:type="spellStart"/>
      <w:r>
        <w:rPr>
          <w:rFonts w:ascii="CMR10" w:hAnsi="CMR10" w:cs="CMR10"/>
          <w:sz w:val="20"/>
          <w:szCs w:val="20"/>
        </w:rPr>
        <w:t>Cimpean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Torsion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clean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almost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torsion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clean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matrix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Russian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</w:t>
      </w:r>
      <w:proofErr w:type="spellStart"/>
      <w:r>
        <w:rPr>
          <w:rFonts w:ascii="CMR10" w:hAnsi="CMR10" w:cs="CMR10"/>
          <w:sz w:val="20"/>
          <w:szCs w:val="20"/>
        </w:rPr>
        <w:t>Iz</w:t>
      </w:r>
      <w:proofErr w:type="spellEnd"/>
      <w:r>
        <w:rPr>
          <w:rFonts w:ascii="CMR10" w:hAnsi="CMR10" w:cs="CMR10"/>
          <w:sz w:val="20"/>
          <w:szCs w:val="20"/>
        </w:rPr>
        <w:t xml:space="preserve">. VUZ) (1) </w:t>
      </w:r>
      <w:r>
        <w:rPr>
          <w:rFonts w:ascii="CMBX10" w:hAnsi="CMBX10" w:cs="CMBX10"/>
          <w:b/>
          <w:bCs/>
          <w:sz w:val="20"/>
          <w:szCs w:val="20"/>
        </w:rPr>
        <w:t xml:space="preserve">65 </w:t>
      </w:r>
      <w:r>
        <w:rPr>
          <w:rFonts w:ascii="CMR10" w:hAnsi="CMR10" w:cs="CMR10"/>
          <w:sz w:val="20"/>
          <w:szCs w:val="20"/>
        </w:rPr>
        <w:t>(2021), 47-56.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7C62D9" w:rsidRDefault="00D56630" w:rsidP="007C62D9">
      <w:pPr>
        <w:jc w:val="both"/>
        <w:rPr>
          <w:sz w:val="20"/>
          <w:szCs w:val="20"/>
          <w:bdr w:val="none" w:sz="0" w:space="0" w:color="auto" w:frame="1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7C62D9" w:rsidRPr="007C62D9">
        <w:rPr>
          <w:caps/>
          <w:sz w:val="24"/>
          <w:szCs w:val="24"/>
        </w:rPr>
        <w:t>Т</w:t>
      </w:r>
      <w:r w:rsidR="007C62D9" w:rsidRPr="001B36ED">
        <w:rPr>
          <w:sz w:val="20"/>
          <w:szCs w:val="20"/>
          <w:bdr w:val="none" w:sz="0" w:space="0" w:color="auto" w:frame="1"/>
        </w:rPr>
        <w:t xml:space="preserve">ретира </w:t>
      </w:r>
      <w:r w:rsidR="007C62D9">
        <w:rPr>
          <w:sz w:val="20"/>
          <w:szCs w:val="20"/>
          <w:bdr w:val="none" w:sz="0" w:space="0" w:color="auto" w:frame="1"/>
        </w:rPr>
        <w:t xml:space="preserve">се </w:t>
      </w:r>
      <w:r w:rsidR="007C62D9" w:rsidRPr="001B36ED">
        <w:rPr>
          <w:sz w:val="20"/>
          <w:szCs w:val="20"/>
          <w:bdr w:val="none" w:sz="0" w:space="0" w:color="auto" w:frame="1"/>
        </w:rPr>
        <w:t>важния</w:t>
      </w:r>
      <w:r w:rsidR="00B4354D">
        <w:rPr>
          <w:sz w:val="20"/>
          <w:szCs w:val="20"/>
          <w:bdr w:val="none" w:sz="0" w:space="0" w:color="auto" w:frame="1"/>
        </w:rPr>
        <w:t>т</w:t>
      </w:r>
      <w:r w:rsidR="007C62D9" w:rsidRPr="001B36ED">
        <w:rPr>
          <w:sz w:val="20"/>
          <w:szCs w:val="20"/>
          <w:bdr w:val="none" w:sz="0" w:space="0" w:color="auto" w:frame="1"/>
        </w:rPr>
        <w:t xml:space="preserve"> въпрос за изясняване на структурата на някои широки класове от „</w:t>
      </w:r>
      <w:r w:rsidR="007C62D9" w:rsidRPr="001B36ED">
        <w:rPr>
          <w:i/>
          <w:sz w:val="20"/>
          <w:szCs w:val="20"/>
          <w:bdr w:val="none" w:sz="0" w:space="0" w:color="auto" w:frame="1"/>
        </w:rPr>
        <w:t>чисти пръстени</w:t>
      </w:r>
      <w:r w:rsidR="007C62D9" w:rsidRPr="001B36ED">
        <w:rPr>
          <w:sz w:val="20"/>
          <w:szCs w:val="20"/>
          <w:bdr w:val="none" w:sz="0" w:space="0" w:color="auto" w:frame="1"/>
        </w:rPr>
        <w:t xml:space="preserve">“, </w:t>
      </w:r>
      <w:r w:rsidR="007C62D9">
        <w:rPr>
          <w:sz w:val="20"/>
          <w:szCs w:val="20"/>
          <w:bdr w:val="none" w:sz="0" w:space="0" w:color="auto" w:frame="1"/>
        </w:rPr>
        <w:t>като например тези на „</w:t>
      </w:r>
      <w:r w:rsidR="007C62D9" w:rsidRPr="001B36ED">
        <w:rPr>
          <w:i/>
          <w:sz w:val="20"/>
          <w:szCs w:val="20"/>
          <w:bdr w:val="none" w:sz="0" w:space="0" w:color="auto" w:frame="1"/>
        </w:rPr>
        <w:t xml:space="preserve">(почти) </w:t>
      </w:r>
      <w:r w:rsidR="007C62D9" w:rsidRPr="001B36ED">
        <w:rPr>
          <w:i/>
          <w:sz w:val="20"/>
          <w:szCs w:val="20"/>
          <w:bdr w:val="none" w:sz="0" w:space="0" w:color="auto" w:frame="1"/>
          <w:lang w:val="en-US"/>
        </w:rPr>
        <w:t>n-</w:t>
      </w:r>
      <w:r w:rsidR="007C62D9" w:rsidRPr="001B36ED">
        <w:rPr>
          <w:i/>
          <w:sz w:val="20"/>
          <w:szCs w:val="20"/>
          <w:bdr w:val="none" w:sz="0" w:space="0" w:color="auto" w:frame="1"/>
        </w:rPr>
        <w:t>периодично чистите</w:t>
      </w:r>
      <w:r w:rsidR="007C62D9">
        <w:rPr>
          <w:sz w:val="20"/>
          <w:szCs w:val="20"/>
          <w:bdr w:val="none" w:sz="0" w:space="0" w:color="auto" w:frame="1"/>
        </w:rPr>
        <w:t xml:space="preserve">“, където по-общия клас от чисти пръстени беше въведен от канадския математик Кейт </w:t>
      </w:r>
      <w:proofErr w:type="spellStart"/>
      <w:r w:rsidR="007C62D9">
        <w:rPr>
          <w:sz w:val="20"/>
          <w:szCs w:val="20"/>
          <w:bdr w:val="none" w:sz="0" w:space="0" w:color="auto" w:frame="1"/>
        </w:rPr>
        <w:t>Николсън</w:t>
      </w:r>
      <w:proofErr w:type="spellEnd"/>
      <w:r w:rsidR="007C62D9">
        <w:rPr>
          <w:sz w:val="20"/>
          <w:szCs w:val="20"/>
          <w:bdr w:val="none" w:sz="0" w:space="0" w:color="auto" w:frame="1"/>
        </w:rPr>
        <w:t xml:space="preserve"> през далечната 1977г. Получени са редица резултати касаещи пълния матричен пръстен, както и неговия </w:t>
      </w:r>
      <w:proofErr w:type="spellStart"/>
      <w:r w:rsidR="007C62D9">
        <w:rPr>
          <w:sz w:val="20"/>
          <w:szCs w:val="20"/>
          <w:bdr w:val="none" w:sz="0" w:space="0" w:color="auto" w:frame="1"/>
        </w:rPr>
        <w:t>триангуларен</w:t>
      </w:r>
      <w:proofErr w:type="spellEnd"/>
      <w:r w:rsidR="007C62D9">
        <w:rPr>
          <w:sz w:val="20"/>
          <w:szCs w:val="20"/>
          <w:bdr w:val="none" w:sz="0" w:space="0" w:color="auto" w:frame="1"/>
        </w:rPr>
        <w:t xml:space="preserve"> матричен </w:t>
      </w:r>
      <w:proofErr w:type="spellStart"/>
      <w:r w:rsidR="007C62D9">
        <w:rPr>
          <w:sz w:val="20"/>
          <w:szCs w:val="20"/>
          <w:bdr w:val="none" w:sz="0" w:space="0" w:color="auto" w:frame="1"/>
        </w:rPr>
        <w:t>подпръстен</w:t>
      </w:r>
      <w:proofErr w:type="spellEnd"/>
      <w:r w:rsidR="007C62D9">
        <w:rPr>
          <w:sz w:val="20"/>
          <w:szCs w:val="20"/>
          <w:bdr w:val="none" w:sz="0" w:space="0" w:color="auto" w:frame="1"/>
        </w:rPr>
        <w:t xml:space="preserve">, и по-специално са получени критерии кога тези два пръстена са </w:t>
      </w:r>
      <w:r w:rsidR="007C62D9" w:rsidRPr="00EA72A9">
        <w:rPr>
          <w:sz w:val="20"/>
          <w:szCs w:val="20"/>
          <w:bdr w:val="none" w:sz="0" w:space="0" w:color="auto" w:frame="1"/>
          <w:lang w:val="en-US"/>
        </w:rPr>
        <w:t>n-</w:t>
      </w:r>
      <w:r w:rsidR="007C62D9" w:rsidRPr="00EA72A9">
        <w:rPr>
          <w:sz w:val="20"/>
          <w:szCs w:val="20"/>
          <w:bdr w:val="none" w:sz="0" w:space="0" w:color="auto" w:frame="1"/>
        </w:rPr>
        <w:t>периодично чисти</w:t>
      </w:r>
      <w:r w:rsidR="007C62D9">
        <w:rPr>
          <w:sz w:val="20"/>
          <w:szCs w:val="20"/>
          <w:bdr w:val="none" w:sz="0" w:space="0" w:color="auto" w:frame="1"/>
        </w:rPr>
        <w:t xml:space="preserve"> и </w:t>
      </w:r>
      <w:r w:rsidR="007C62D9" w:rsidRPr="00EA72A9">
        <w:rPr>
          <w:sz w:val="20"/>
          <w:szCs w:val="20"/>
          <w:bdr w:val="none" w:sz="0" w:space="0" w:color="auto" w:frame="1"/>
        </w:rPr>
        <w:t xml:space="preserve">почти </w:t>
      </w:r>
      <w:r w:rsidR="007C62D9" w:rsidRPr="00EA72A9">
        <w:rPr>
          <w:sz w:val="20"/>
          <w:szCs w:val="20"/>
          <w:bdr w:val="none" w:sz="0" w:space="0" w:color="auto" w:frame="1"/>
          <w:lang w:val="en-US"/>
        </w:rPr>
        <w:t>n-</w:t>
      </w:r>
      <w:r w:rsidR="007C62D9" w:rsidRPr="00EA72A9">
        <w:rPr>
          <w:sz w:val="20"/>
          <w:szCs w:val="20"/>
          <w:bdr w:val="none" w:sz="0" w:space="0" w:color="auto" w:frame="1"/>
        </w:rPr>
        <w:t>периодично чисти</w:t>
      </w:r>
      <w:r w:rsidR="007C62D9">
        <w:rPr>
          <w:sz w:val="20"/>
          <w:szCs w:val="20"/>
          <w:bdr w:val="none" w:sz="0" w:space="0" w:color="auto" w:frame="1"/>
        </w:rPr>
        <w:t>. За целта, в изчисленията и доказателствата са използвани и някои резултати от теория на числата.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 xml:space="preserve">[9]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J. P. </w:t>
      </w:r>
      <w:proofErr w:type="spellStart"/>
      <w:r>
        <w:rPr>
          <w:rFonts w:ascii="CMR10" w:hAnsi="CMR10" w:cs="CMR10"/>
          <w:sz w:val="20"/>
          <w:szCs w:val="20"/>
        </w:rPr>
        <w:t>Bell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Affine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representability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decision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procedures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for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commutativity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theorems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for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algebras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Israel</w:t>
      </w:r>
      <w:proofErr w:type="spellEnd"/>
      <w:r>
        <w:rPr>
          <w:rFonts w:ascii="CMR10" w:hAnsi="CMR10" w:cs="CMR10"/>
          <w:sz w:val="20"/>
          <w:szCs w:val="20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</w:t>
      </w:r>
      <w:r>
        <w:rPr>
          <w:rFonts w:ascii="CMR10" w:hAnsi="CMR10" w:cs="CMR10"/>
          <w:sz w:val="20"/>
          <w:szCs w:val="20"/>
          <w:lang w:val="en-US"/>
        </w:rPr>
        <w:t>1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>24</w:t>
      </w:r>
      <w:r>
        <w:rPr>
          <w:rFonts w:ascii="CMBX10" w:hAnsi="CMBX10" w:cs="CMBX10"/>
          <w:b/>
          <w:bCs/>
          <w:sz w:val="20"/>
          <w:szCs w:val="20"/>
          <w:lang w:val="en-US"/>
        </w:rPr>
        <w:t>9</w:t>
      </w:r>
      <w:r>
        <w:rPr>
          <w:rFonts w:ascii="CMBX10" w:hAnsi="CMBX10" w:cs="CMBX10"/>
          <w:b/>
          <w:bCs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>(2022)</w:t>
      </w:r>
      <w:r>
        <w:rPr>
          <w:rFonts w:cs="CMR10"/>
          <w:sz w:val="20"/>
          <w:szCs w:val="20"/>
        </w:rPr>
        <w:t xml:space="preserve">, </w:t>
      </w:r>
      <w:r>
        <w:rPr>
          <w:rFonts w:cs="CMR10"/>
          <w:sz w:val="20"/>
          <w:szCs w:val="20"/>
          <w:lang w:val="en-US"/>
        </w:rPr>
        <w:t>1</w:t>
      </w:r>
      <w:r>
        <w:rPr>
          <w:rFonts w:cs="CMR10"/>
          <w:sz w:val="20"/>
          <w:szCs w:val="20"/>
        </w:rPr>
        <w:t>21-</w:t>
      </w:r>
      <w:r>
        <w:rPr>
          <w:rFonts w:cs="CMR10"/>
          <w:sz w:val="20"/>
          <w:szCs w:val="20"/>
          <w:lang w:val="en-US"/>
        </w:rPr>
        <w:t>1</w:t>
      </w:r>
      <w:r>
        <w:rPr>
          <w:rFonts w:cs="CMR10"/>
          <w:sz w:val="20"/>
          <w:szCs w:val="20"/>
        </w:rPr>
        <w:t>66</w:t>
      </w:r>
      <w:r>
        <w:rPr>
          <w:rFonts w:ascii="CMR10" w:hAnsi="CMR10" w:cs="CMR10"/>
          <w:sz w:val="20"/>
          <w:szCs w:val="20"/>
          <w:lang w:val="en-US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F03248" w:rsidRPr="00D9207D" w:rsidRDefault="00D56630" w:rsidP="00F03248">
      <w:pPr>
        <w:jc w:val="both"/>
        <w:rPr>
          <w:rFonts w:cs="CMR10"/>
          <w:sz w:val="20"/>
          <w:szCs w:val="20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6F4B5F" w:rsidRPr="006F4B5F">
        <w:rPr>
          <w:caps/>
          <w:sz w:val="24"/>
          <w:szCs w:val="24"/>
        </w:rPr>
        <w:t>Д</w:t>
      </w:r>
      <w:r w:rsidR="00F03248">
        <w:rPr>
          <w:rFonts w:cs="CMR10"/>
          <w:sz w:val="20"/>
          <w:szCs w:val="20"/>
        </w:rPr>
        <w:t>ава</w:t>
      </w:r>
      <w:r w:rsidR="006F4B5F">
        <w:rPr>
          <w:rFonts w:cs="CMR10"/>
          <w:sz w:val="20"/>
          <w:szCs w:val="20"/>
        </w:rPr>
        <w:t xml:space="preserve"> се</w:t>
      </w:r>
      <w:r w:rsidR="00F03248">
        <w:rPr>
          <w:rFonts w:cs="CMR10"/>
          <w:sz w:val="20"/>
          <w:szCs w:val="20"/>
        </w:rPr>
        <w:t xml:space="preserve"> практически реализуем алгоритъм за </w:t>
      </w:r>
      <w:proofErr w:type="spellStart"/>
      <w:r w:rsidR="00F03248">
        <w:rPr>
          <w:rFonts w:cs="CMR10"/>
          <w:sz w:val="20"/>
          <w:szCs w:val="20"/>
        </w:rPr>
        <w:t>комутативност</w:t>
      </w:r>
      <w:proofErr w:type="spellEnd"/>
      <w:r w:rsidR="00F03248">
        <w:rPr>
          <w:rFonts w:cs="CMR10"/>
          <w:sz w:val="20"/>
          <w:szCs w:val="20"/>
        </w:rPr>
        <w:t xml:space="preserve"> на тези два алгебрически обекта</w:t>
      </w:r>
      <w:r w:rsidR="00E27787">
        <w:rPr>
          <w:rFonts w:cs="CMR10"/>
          <w:sz w:val="20"/>
          <w:szCs w:val="20"/>
        </w:rPr>
        <w:t>, именно пръстени и алгебри</w:t>
      </w:r>
      <w:r w:rsidR="00F03248">
        <w:rPr>
          <w:rFonts w:cs="CMR10"/>
          <w:sz w:val="20"/>
          <w:szCs w:val="20"/>
        </w:rPr>
        <w:t xml:space="preserve">. Накратко, получено е, че всеки периодичен пръстен, на който елементите имат равни степени от различна </w:t>
      </w:r>
      <w:proofErr w:type="spellStart"/>
      <w:r w:rsidR="00F03248">
        <w:rPr>
          <w:rFonts w:cs="CMR10"/>
          <w:sz w:val="20"/>
          <w:szCs w:val="20"/>
        </w:rPr>
        <w:t>четност</w:t>
      </w:r>
      <w:proofErr w:type="spellEnd"/>
      <w:r w:rsidR="00F03248">
        <w:rPr>
          <w:rFonts w:cs="CMR10"/>
          <w:sz w:val="20"/>
          <w:szCs w:val="20"/>
        </w:rPr>
        <w:t xml:space="preserve"> е всъщност потентен пръстен, така разширявайки гореспоменатата теорема на </w:t>
      </w:r>
      <w:proofErr w:type="spellStart"/>
      <w:r w:rsidR="00F03248">
        <w:rPr>
          <w:rFonts w:cs="CMR10"/>
          <w:sz w:val="20"/>
          <w:szCs w:val="20"/>
        </w:rPr>
        <w:t>Джейкобсън</w:t>
      </w:r>
      <w:proofErr w:type="spellEnd"/>
      <w:r w:rsidR="00F03248">
        <w:rPr>
          <w:rFonts w:cs="CMR10"/>
          <w:sz w:val="20"/>
          <w:szCs w:val="20"/>
        </w:rPr>
        <w:t xml:space="preserve">.  За доказателствата на резултатите са използвани най-разнообразни методи, включително и такива от теория на матричните пръстени. 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 xml:space="preserve">[10]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T.-K. Lee, </w:t>
      </w:r>
      <w:proofErr w:type="spellStart"/>
      <w:proofErr w:type="gram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generalized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commutators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Lie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ideals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J.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Appl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21 </w:t>
      </w:r>
      <w:r>
        <w:rPr>
          <w:rFonts w:ascii="CMR10" w:hAnsi="CMR10" w:cs="CMR10"/>
          <w:sz w:val="20"/>
          <w:szCs w:val="20"/>
        </w:rPr>
        <w:t>(2022)</w:t>
      </w:r>
      <w:r>
        <w:rPr>
          <w:rFonts w:ascii="CMR10" w:hAnsi="CMR10" w:cs="CMR10"/>
          <w:sz w:val="20"/>
          <w:szCs w:val="20"/>
          <w:lang w:val="en-US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ED4BC6" w:rsidRDefault="00D56630" w:rsidP="00ED4BC6">
      <w:pPr>
        <w:jc w:val="both"/>
        <w:rPr>
          <w:sz w:val="20"/>
          <w:szCs w:val="20"/>
          <w:bdr w:val="none" w:sz="0" w:space="0" w:color="auto" w:frame="1"/>
        </w:rPr>
      </w:pPr>
      <w:r>
        <w:rPr>
          <w:b/>
          <w:caps/>
          <w:sz w:val="24"/>
          <w:szCs w:val="24"/>
        </w:rPr>
        <w:t>РЕЗЮМЕ</w:t>
      </w:r>
      <w:r w:rsidR="00ED4BC6">
        <w:rPr>
          <w:b/>
          <w:caps/>
          <w:sz w:val="24"/>
          <w:szCs w:val="24"/>
        </w:rPr>
        <w:t xml:space="preserve">: </w:t>
      </w:r>
      <w:r w:rsidR="00ED4BC6">
        <w:rPr>
          <w:sz w:val="20"/>
          <w:szCs w:val="20"/>
          <w:bdr w:val="none" w:sz="0" w:space="0" w:color="auto" w:frame="1"/>
        </w:rPr>
        <w:t>И</w:t>
      </w:r>
      <w:r w:rsidR="00ED4BC6" w:rsidRPr="000B6D7F">
        <w:rPr>
          <w:sz w:val="20"/>
          <w:szCs w:val="20"/>
          <w:bdr w:val="none" w:sz="0" w:space="0" w:color="auto" w:frame="1"/>
        </w:rPr>
        <w:t xml:space="preserve">зследва </w:t>
      </w:r>
      <w:r w:rsidR="00ED4BC6">
        <w:rPr>
          <w:sz w:val="20"/>
          <w:szCs w:val="20"/>
          <w:bdr w:val="none" w:sz="0" w:space="0" w:color="auto" w:frame="1"/>
        </w:rPr>
        <w:t xml:space="preserve">се </w:t>
      </w:r>
      <w:r w:rsidR="00ED4BC6" w:rsidRPr="000B6D7F">
        <w:rPr>
          <w:sz w:val="20"/>
          <w:szCs w:val="20"/>
          <w:bdr w:val="none" w:sz="0" w:space="0" w:color="auto" w:frame="1"/>
        </w:rPr>
        <w:t xml:space="preserve">проблема </w:t>
      </w:r>
      <w:r w:rsidR="00ED4BC6">
        <w:rPr>
          <w:sz w:val="20"/>
          <w:szCs w:val="20"/>
          <w:bdr w:val="none" w:sz="0" w:space="0" w:color="auto" w:frame="1"/>
        </w:rPr>
        <w:t xml:space="preserve">за обобщените комутатори и идеали на Ли за произволни асоциативни пръстени. В частност, тук се постига значително разширяване на теоремата на </w:t>
      </w:r>
      <w:proofErr w:type="spellStart"/>
      <w:r w:rsidR="00ED4BC6">
        <w:rPr>
          <w:sz w:val="20"/>
          <w:szCs w:val="20"/>
          <w:bdr w:val="none" w:sz="0" w:space="0" w:color="auto" w:frame="1"/>
        </w:rPr>
        <w:t>Херстейн</w:t>
      </w:r>
      <w:proofErr w:type="spellEnd"/>
      <w:r w:rsidR="00ED4BC6">
        <w:rPr>
          <w:sz w:val="20"/>
          <w:szCs w:val="20"/>
          <w:bdr w:val="none" w:sz="0" w:space="0" w:color="auto" w:frame="1"/>
        </w:rPr>
        <w:t xml:space="preserve"> за класическите комутатори, доказана от този американски математик през далечната 1954г. Наистина, получените тук резултати се отнасят за произволна дължина на </w:t>
      </w:r>
      <w:proofErr w:type="spellStart"/>
      <w:r w:rsidR="00ED4BC6">
        <w:rPr>
          <w:sz w:val="20"/>
          <w:szCs w:val="20"/>
          <w:bdr w:val="none" w:sz="0" w:space="0" w:color="auto" w:frame="1"/>
        </w:rPr>
        <w:t>комутаторния</w:t>
      </w:r>
      <w:proofErr w:type="spellEnd"/>
      <w:r w:rsidR="00ED4BC6">
        <w:rPr>
          <w:sz w:val="20"/>
          <w:szCs w:val="20"/>
          <w:bdr w:val="none" w:sz="0" w:space="0" w:color="auto" w:frame="1"/>
        </w:rPr>
        <w:t xml:space="preserve"> индекс. В допълнение са осъществени релации с някои съществени класове от некомутативни полиноми. Използваните идеи за доказателства на резултатите, както и самата техника на доказване, са по някакъв начин новаторски за областта и не копират вече съществуващите такива.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caps/>
          <w:sz w:val="20"/>
          <w:szCs w:val="20"/>
          <w:lang w:val="en-US"/>
        </w:rPr>
        <w:lastRenderedPageBreak/>
        <w:t xml:space="preserve">[11] </w:t>
      </w:r>
      <w:r>
        <w:rPr>
          <w:rFonts w:ascii="CMR10" w:hAnsi="CMR10" w:cs="CMR10"/>
          <w:sz w:val="20"/>
          <w:szCs w:val="20"/>
          <w:lang w:val="en-US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Danchev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, </w:t>
      </w:r>
      <w:r>
        <w:rPr>
          <w:rFonts w:ascii="CMR10" w:hAnsi="CMR10" w:cs="CMR10"/>
          <w:sz w:val="20"/>
          <w:szCs w:val="20"/>
        </w:rPr>
        <w:t xml:space="preserve">E. </w:t>
      </w:r>
      <w:proofErr w:type="spellStart"/>
      <w:r>
        <w:rPr>
          <w:rFonts w:ascii="CMR10" w:hAnsi="CMR10" w:cs="CMR10"/>
          <w:sz w:val="20"/>
          <w:szCs w:val="20"/>
        </w:rPr>
        <w:t>Garcia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and </w:t>
      </w:r>
      <w:r>
        <w:rPr>
          <w:rFonts w:ascii="CMR10" w:hAnsi="CMR10" w:cs="CMR10"/>
          <w:sz w:val="20"/>
          <w:szCs w:val="20"/>
        </w:rPr>
        <w:t xml:space="preserve">M. G. </w:t>
      </w:r>
      <w:proofErr w:type="spellStart"/>
      <w:r>
        <w:rPr>
          <w:rFonts w:ascii="CMR10" w:hAnsi="CMR10" w:cs="CMR10"/>
          <w:sz w:val="20"/>
          <w:szCs w:val="20"/>
        </w:rPr>
        <w:t>Lozano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, </w:t>
      </w:r>
      <w:r w:rsidRPr="00FA74E9">
        <w:rPr>
          <w:rFonts w:ascii="CMR10" w:hAnsi="CMR10" w:cs="CMR10"/>
          <w:i/>
          <w:sz w:val="20"/>
          <w:szCs w:val="20"/>
          <w:lang w:val="en-US"/>
        </w:rPr>
        <w:t>Decomposition</w:t>
      </w:r>
      <w:r>
        <w:rPr>
          <w:rFonts w:ascii="CMR10" w:hAnsi="CMR10" w:cs="CMR10"/>
          <w:i/>
          <w:sz w:val="20"/>
          <w:szCs w:val="20"/>
          <w:lang w:val="en-US"/>
        </w:rPr>
        <w:t>s</w:t>
      </w:r>
      <w:r w:rsidRPr="00FA74E9">
        <w:rPr>
          <w:rFonts w:ascii="CMR10" w:hAnsi="CMR10" w:cs="CMR10"/>
          <w:i/>
          <w:sz w:val="20"/>
          <w:szCs w:val="20"/>
          <w:lang w:val="en-US"/>
        </w:rPr>
        <w:t xml:space="preserve"> of matrices into potent and square-zero matrices</w:t>
      </w:r>
      <w:r>
        <w:rPr>
          <w:rFonts w:ascii="CMR10" w:hAnsi="CMR10" w:cs="CMR10"/>
          <w:sz w:val="20"/>
          <w:szCs w:val="20"/>
          <w:lang w:val="en-US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Internat.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J. Algebra &amp;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Computat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. (2) </w:t>
      </w:r>
      <w:r w:rsidRPr="00FA74E9">
        <w:rPr>
          <w:rFonts w:ascii="CMR10" w:hAnsi="CMR10" w:cs="CMR10"/>
          <w:b/>
          <w:sz w:val="20"/>
          <w:szCs w:val="20"/>
          <w:lang w:val="en-US"/>
        </w:rPr>
        <w:t>32</w:t>
      </w:r>
      <w:r>
        <w:rPr>
          <w:rFonts w:ascii="CMR10" w:hAnsi="CMR10" w:cs="CMR10"/>
          <w:b/>
          <w:sz w:val="20"/>
          <w:szCs w:val="20"/>
          <w:lang w:val="en-US"/>
        </w:rPr>
        <w:t xml:space="preserve"> </w:t>
      </w:r>
      <w:r w:rsidRPr="00FA74E9">
        <w:rPr>
          <w:rFonts w:ascii="CMR10" w:hAnsi="CMR10" w:cs="CMR10"/>
          <w:sz w:val="20"/>
          <w:szCs w:val="20"/>
          <w:lang w:val="en-US"/>
        </w:rPr>
        <w:t>(2022)</w:t>
      </w:r>
      <w:r>
        <w:rPr>
          <w:rFonts w:ascii="CMR10" w:hAnsi="CMR10" w:cs="CMR10"/>
          <w:sz w:val="20"/>
          <w:szCs w:val="20"/>
          <w:lang w:val="en-US"/>
        </w:rPr>
        <w:t>, 251-263</w:t>
      </w:r>
      <w:r w:rsidRPr="00FA74E9">
        <w:rPr>
          <w:rFonts w:ascii="CMR10" w:hAnsi="CMR10" w:cs="CMR10"/>
          <w:sz w:val="20"/>
          <w:szCs w:val="20"/>
          <w:lang w:val="en-US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FD4271" w:rsidRDefault="00D56630" w:rsidP="00FD4271">
      <w:pPr>
        <w:jc w:val="both"/>
        <w:rPr>
          <w:rFonts w:cs="CMR10"/>
          <w:sz w:val="20"/>
          <w:szCs w:val="20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Pr="005B0FC3">
        <w:t xml:space="preserve"> </w:t>
      </w:r>
      <w:r w:rsidR="00FD4271">
        <w:t>П</w:t>
      </w:r>
      <w:r w:rsidR="00FD4271">
        <w:rPr>
          <w:rFonts w:cs="CMR10"/>
          <w:sz w:val="20"/>
          <w:szCs w:val="20"/>
        </w:rPr>
        <w:t>оказано</w:t>
      </w:r>
      <w:r w:rsidR="00275E30">
        <w:rPr>
          <w:rFonts w:cs="CMR10"/>
          <w:sz w:val="20"/>
          <w:szCs w:val="20"/>
        </w:rPr>
        <w:t xml:space="preserve"> е</w:t>
      </w:r>
      <w:bookmarkStart w:id="0" w:name="_GoBack"/>
      <w:bookmarkEnd w:id="0"/>
      <w:r w:rsidR="00FD4271">
        <w:rPr>
          <w:rFonts w:cs="CMR10"/>
          <w:sz w:val="20"/>
          <w:szCs w:val="20"/>
        </w:rPr>
        <w:t xml:space="preserve">, че в някои по-специални случаи, а именно за някои класове от крайни комутативни пръстени, може да се получи и по-точно разлагане като сума на потентна матрица и </w:t>
      </w:r>
      <w:proofErr w:type="spellStart"/>
      <w:r w:rsidR="00FD4271">
        <w:rPr>
          <w:rFonts w:cs="CMR10"/>
          <w:sz w:val="20"/>
          <w:szCs w:val="20"/>
        </w:rPr>
        <w:t>нилпотентна</w:t>
      </w:r>
      <w:proofErr w:type="spellEnd"/>
      <w:r w:rsidR="00FD4271">
        <w:rPr>
          <w:rFonts w:cs="CMR10"/>
          <w:sz w:val="20"/>
          <w:szCs w:val="20"/>
        </w:rPr>
        <w:t xml:space="preserve"> матрица от ред не надминаващ 2. Използвани са иновативни методи за доказателство на резултатите от теория на полетата и матриците, като по-специално някои </w:t>
      </w:r>
      <w:proofErr w:type="spellStart"/>
      <w:r w:rsidR="00FD4271">
        <w:rPr>
          <w:rFonts w:cs="CMR10"/>
          <w:sz w:val="20"/>
          <w:szCs w:val="20"/>
        </w:rPr>
        <w:t>полиномни</w:t>
      </w:r>
      <w:proofErr w:type="spellEnd"/>
      <w:r w:rsidR="00FD4271">
        <w:rPr>
          <w:rFonts w:cs="CMR10"/>
          <w:sz w:val="20"/>
          <w:szCs w:val="20"/>
        </w:rPr>
        <w:t xml:space="preserve"> техники са доусъвършенствани за нашите цели.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 xml:space="preserve">[12]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E. </w:t>
      </w:r>
      <w:proofErr w:type="spellStart"/>
      <w:r>
        <w:rPr>
          <w:rFonts w:ascii="CMR10" w:hAnsi="CMR10" w:cs="CMR10"/>
          <w:sz w:val="20"/>
          <w:szCs w:val="20"/>
        </w:rPr>
        <w:t>Garcia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and </w:t>
      </w:r>
      <w:r>
        <w:rPr>
          <w:rFonts w:ascii="CMR10" w:hAnsi="CMR10" w:cs="CMR10"/>
          <w:sz w:val="20"/>
          <w:szCs w:val="20"/>
        </w:rPr>
        <w:t xml:space="preserve">M. G. </w:t>
      </w:r>
      <w:proofErr w:type="spellStart"/>
      <w:r>
        <w:rPr>
          <w:rFonts w:ascii="CMR10" w:hAnsi="CMR10" w:cs="CMR10"/>
          <w:sz w:val="20"/>
          <w:szCs w:val="20"/>
        </w:rPr>
        <w:t>Lozano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Decompositions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into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diagonalizable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square-zero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Linear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Multilinear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(1</w:t>
      </w:r>
      <w:r>
        <w:rPr>
          <w:rFonts w:ascii="CMR10" w:hAnsi="CMR10" w:cs="CMR10"/>
          <w:sz w:val="20"/>
          <w:szCs w:val="20"/>
          <w:lang w:val="en-US"/>
        </w:rPr>
        <w:t>9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>7</w:t>
      </w:r>
      <w:r>
        <w:rPr>
          <w:rFonts w:ascii="CMBX10" w:hAnsi="CMBX10" w:cs="CMBX10"/>
          <w:b/>
          <w:bCs/>
          <w:sz w:val="20"/>
          <w:szCs w:val="20"/>
          <w:lang w:val="en-US"/>
        </w:rPr>
        <w:t>0</w:t>
      </w:r>
      <w:r>
        <w:rPr>
          <w:rFonts w:ascii="CMBX10" w:hAnsi="CMBX10" w:cs="CMBX10"/>
          <w:b/>
          <w:bCs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>(202</w:t>
      </w:r>
      <w:r>
        <w:rPr>
          <w:rFonts w:ascii="CMR10" w:hAnsi="CMR10" w:cs="CMR10"/>
          <w:sz w:val="20"/>
          <w:szCs w:val="20"/>
          <w:lang w:val="en-US"/>
        </w:rPr>
        <w:t>2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>, 4056-4070.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b/>
          <w:caps/>
          <w:sz w:val="24"/>
          <w:szCs w:val="24"/>
          <w:lang w:val="en-US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="00FD4271" w:rsidRPr="00FD4271">
        <w:t xml:space="preserve"> </w:t>
      </w:r>
      <w:r w:rsidR="00FD4271">
        <w:t>И</w:t>
      </w:r>
      <w:r w:rsidR="00FD4271">
        <w:rPr>
          <w:rFonts w:cs="CMR10"/>
          <w:sz w:val="20"/>
          <w:szCs w:val="20"/>
        </w:rPr>
        <w:t>зследват се в детайли и разширяват възможността за разлагане на произволни квадратни матрици като сума на потентни или диагонални/</w:t>
      </w:r>
      <w:proofErr w:type="spellStart"/>
      <w:r w:rsidR="00FD4271">
        <w:rPr>
          <w:rFonts w:cs="CMR10"/>
          <w:sz w:val="20"/>
          <w:szCs w:val="20"/>
        </w:rPr>
        <w:t>диагонализируеми</w:t>
      </w:r>
      <w:proofErr w:type="spellEnd"/>
      <w:r w:rsidR="00FD4271">
        <w:rPr>
          <w:rFonts w:cs="CMR10"/>
          <w:sz w:val="20"/>
          <w:szCs w:val="20"/>
        </w:rPr>
        <w:t xml:space="preserve"> матрици с </w:t>
      </w:r>
      <w:proofErr w:type="spellStart"/>
      <w:r w:rsidR="00FD4271">
        <w:rPr>
          <w:rFonts w:cs="CMR10"/>
          <w:sz w:val="20"/>
          <w:szCs w:val="20"/>
        </w:rPr>
        <w:t>нилпотентни</w:t>
      </w:r>
      <w:proofErr w:type="spellEnd"/>
      <w:r w:rsidR="00FD4271">
        <w:rPr>
          <w:rFonts w:cs="CMR10"/>
          <w:sz w:val="20"/>
          <w:szCs w:val="20"/>
        </w:rPr>
        <w:t xml:space="preserve"> матрици от ред най-много 2. По-специално, доказано е, че всяка квадратна матрица над произволно безкрайно поле е винаги </w:t>
      </w:r>
      <w:proofErr w:type="spellStart"/>
      <w:r w:rsidR="00FD4271">
        <w:rPr>
          <w:rFonts w:cs="CMR10"/>
          <w:sz w:val="20"/>
          <w:szCs w:val="20"/>
        </w:rPr>
        <w:t>представима</w:t>
      </w:r>
      <w:proofErr w:type="spellEnd"/>
      <w:r w:rsidR="00FD4271">
        <w:rPr>
          <w:rFonts w:cs="CMR10"/>
          <w:sz w:val="20"/>
          <w:szCs w:val="20"/>
        </w:rPr>
        <w:t xml:space="preserve"> като сума на </w:t>
      </w:r>
      <w:proofErr w:type="spellStart"/>
      <w:r w:rsidR="00FD4271">
        <w:rPr>
          <w:rFonts w:cs="CMR10"/>
          <w:sz w:val="20"/>
          <w:szCs w:val="20"/>
        </w:rPr>
        <w:t>диагонализируема</w:t>
      </w:r>
      <w:proofErr w:type="spellEnd"/>
      <w:r w:rsidR="00FD4271">
        <w:rPr>
          <w:rFonts w:cs="CMR10"/>
          <w:sz w:val="20"/>
          <w:szCs w:val="20"/>
        </w:rPr>
        <w:t xml:space="preserve"> матрица и матрица, чиято втора степен е нулевата матрица. </w:t>
      </w:r>
      <w:r>
        <w:rPr>
          <w:b/>
          <w:caps/>
          <w:sz w:val="24"/>
          <w:szCs w:val="24"/>
          <w:lang w:val="en-US"/>
        </w:rPr>
        <w:t xml:space="preserve"> </w:t>
      </w:r>
    </w:p>
    <w:p w:rsidR="00FD4271" w:rsidRDefault="00FD4271" w:rsidP="00D5663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D56630" w:rsidRDefault="00D56630" w:rsidP="00D56630">
      <w:pPr>
        <w:autoSpaceDE w:val="0"/>
        <w:autoSpaceDN w:val="0"/>
        <w:adjustRightInd w:val="0"/>
      </w:pPr>
      <w:r>
        <w:rPr>
          <w:rFonts w:ascii="CMR10" w:hAnsi="CMR10" w:cs="CMR10"/>
          <w:sz w:val="20"/>
          <w:szCs w:val="20"/>
          <w:lang w:val="en-US"/>
        </w:rPr>
        <w:t>[13]</w:t>
      </w:r>
      <w:r>
        <w:rPr>
          <w:rFonts w:cs="CMR10"/>
          <w:sz w:val="20"/>
          <w:szCs w:val="20"/>
          <w:lang w:val="en-US"/>
        </w:rPr>
        <w:t xml:space="preserve"> </w:t>
      </w:r>
      <w:r>
        <w:t xml:space="preserve">P. V. </w:t>
      </w:r>
      <w:proofErr w:type="spellStart"/>
      <w:r>
        <w:t>Danchev</w:t>
      </w:r>
      <w:proofErr w:type="spellEnd"/>
      <w:r>
        <w:t xml:space="preserve">, </w:t>
      </w:r>
      <w:proofErr w:type="spellStart"/>
      <w:r w:rsidRPr="00F573FF">
        <w:rPr>
          <w:i/>
        </w:rPr>
        <w:t>Weakly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invo-clean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having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weak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involution</w:t>
      </w:r>
      <w:proofErr w:type="spellEnd"/>
      <w:r>
        <w:t xml:space="preserve">, </w:t>
      </w:r>
      <w:proofErr w:type="spellStart"/>
      <w:r>
        <w:t>Vestnik</w:t>
      </w:r>
      <w:proofErr w:type="spellEnd"/>
      <w:r>
        <w:t xml:space="preserve"> </w:t>
      </w:r>
      <w:proofErr w:type="spellStart"/>
      <w:r>
        <w:t>Udmurtskogo</w:t>
      </w:r>
      <w:proofErr w:type="spellEnd"/>
      <w:r>
        <w:t xml:space="preserve"> </w:t>
      </w:r>
      <w:proofErr w:type="spellStart"/>
      <w:r>
        <w:t>Universiteta</w:t>
      </w:r>
      <w:proofErr w:type="spellEnd"/>
      <w:r>
        <w:t xml:space="preserve"> – </w:t>
      </w:r>
      <w:proofErr w:type="spellStart"/>
      <w:r>
        <w:t>Matematika</w:t>
      </w:r>
      <w:proofErr w:type="spellEnd"/>
      <w:r>
        <w:t xml:space="preserve">, </w:t>
      </w:r>
      <w:proofErr w:type="spellStart"/>
      <w:r>
        <w:t>Mekhanika</w:t>
      </w:r>
      <w:proofErr w:type="spellEnd"/>
      <w:r>
        <w:t xml:space="preserve">, </w:t>
      </w:r>
      <w:proofErr w:type="spellStart"/>
      <w:r>
        <w:t>Komp’yuternye</w:t>
      </w:r>
      <w:proofErr w:type="spellEnd"/>
      <w:r>
        <w:t xml:space="preserve"> </w:t>
      </w:r>
      <w:proofErr w:type="spellStart"/>
      <w:r>
        <w:t>Nauki</w:t>
      </w:r>
      <w:proofErr w:type="spellEnd"/>
      <w:r>
        <w:t xml:space="preserve"> (1) </w:t>
      </w:r>
      <w:r w:rsidRPr="005648B7">
        <w:rPr>
          <w:b/>
        </w:rPr>
        <w:t>32</w:t>
      </w:r>
      <w:r>
        <w:t xml:space="preserve"> (2022), 18-25.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  <w:lang w:val="en-US"/>
        </w:rPr>
      </w:pPr>
    </w:p>
    <w:p w:rsidR="007C62D9" w:rsidRPr="004557F5" w:rsidRDefault="00D56630" w:rsidP="007C62D9">
      <w:pPr>
        <w:jc w:val="both"/>
        <w:rPr>
          <w:rFonts w:cs="CMR10"/>
          <w:sz w:val="20"/>
          <w:szCs w:val="20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Pr="005B0FC3">
        <w:t xml:space="preserve"> </w:t>
      </w:r>
      <w:r w:rsidR="007C62D9" w:rsidRPr="002A3121">
        <w:rPr>
          <w:sz w:val="20"/>
          <w:szCs w:val="20"/>
        </w:rPr>
        <w:t>Използваната техника за доказателство</w:t>
      </w:r>
      <w:r w:rsidR="007C62D9">
        <w:t xml:space="preserve"> </w:t>
      </w:r>
      <w:r w:rsidR="007C62D9" w:rsidRPr="002A3121">
        <w:rPr>
          <w:sz w:val="20"/>
          <w:szCs w:val="20"/>
        </w:rPr>
        <w:t>е нова и нетривиална</w:t>
      </w:r>
      <w:r w:rsidR="007C62D9">
        <w:t>.</w:t>
      </w:r>
      <w:r w:rsidR="007C62D9">
        <w:rPr>
          <w:lang w:val="en-US"/>
        </w:rPr>
        <w:t xml:space="preserve"> </w:t>
      </w:r>
      <w:r w:rsidR="007C62D9" w:rsidRPr="00C0689F">
        <w:rPr>
          <w:sz w:val="20"/>
          <w:szCs w:val="20"/>
        </w:rPr>
        <w:t>Освен това,</w:t>
      </w:r>
      <w:r w:rsidR="007C62D9">
        <w:t xml:space="preserve"> </w:t>
      </w:r>
      <w:r w:rsidR="007C62D9" w:rsidRPr="00C0689F">
        <w:rPr>
          <w:sz w:val="20"/>
          <w:szCs w:val="20"/>
        </w:rPr>
        <w:t xml:space="preserve">са получени </w:t>
      </w:r>
      <w:r w:rsidR="007C62D9">
        <w:rPr>
          <w:sz w:val="20"/>
          <w:szCs w:val="20"/>
        </w:rPr>
        <w:t xml:space="preserve">окончателни теореми, които описват с точност до </w:t>
      </w:r>
      <w:proofErr w:type="spellStart"/>
      <w:r w:rsidR="007C62D9">
        <w:rPr>
          <w:sz w:val="20"/>
          <w:szCs w:val="20"/>
        </w:rPr>
        <w:t>изоморфизъм</w:t>
      </w:r>
      <w:proofErr w:type="spellEnd"/>
      <w:r w:rsidR="007C62D9">
        <w:rPr>
          <w:sz w:val="20"/>
          <w:szCs w:val="20"/>
        </w:rPr>
        <w:t xml:space="preserve"> структурата на слабо </w:t>
      </w:r>
      <w:proofErr w:type="spellStart"/>
      <w:r w:rsidR="007C62D9">
        <w:rPr>
          <w:sz w:val="20"/>
          <w:szCs w:val="20"/>
        </w:rPr>
        <w:t>инволютивно</w:t>
      </w:r>
      <w:proofErr w:type="spellEnd"/>
      <w:r w:rsidR="007C62D9">
        <w:rPr>
          <w:sz w:val="20"/>
          <w:szCs w:val="20"/>
        </w:rPr>
        <w:t xml:space="preserve">-чистите пръстени, които притежават слаба </w:t>
      </w:r>
      <w:proofErr w:type="spellStart"/>
      <w:r w:rsidR="007C62D9">
        <w:rPr>
          <w:sz w:val="20"/>
          <w:szCs w:val="20"/>
        </w:rPr>
        <w:t>инволюция</w:t>
      </w:r>
      <w:proofErr w:type="spellEnd"/>
      <w:r w:rsidR="007C62D9">
        <w:rPr>
          <w:sz w:val="20"/>
          <w:szCs w:val="20"/>
        </w:rPr>
        <w:t xml:space="preserve">. Тези резултати съществено усилват получени вече резултати от същия автор в списанията </w:t>
      </w:r>
      <w:proofErr w:type="spellStart"/>
      <w:r w:rsidR="007C62D9">
        <w:t>Afrika</w:t>
      </w:r>
      <w:proofErr w:type="spellEnd"/>
      <w:r w:rsidR="007C62D9">
        <w:t xml:space="preserve"> </w:t>
      </w:r>
      <w:proofErr w:type="spellStart"/>
      <w:r w:rsidR="007C62D9">
        <w:t>Mat</w:t>
      </w:r>
      <w:proofErr w:type="spellEnd"/>
      <w:r w:rsidR="007C62D9">
        <w:t xml:space="preserve">. (2017) и </w:t>
      </w:r>
      <w:proofErr w:type="spellStart"/>
      <w:r w:rsidR="007C62D9">
        <w:t>Far</w:t>
      </w:r>
      <w:proofErr w:type="spellEnd"/>
      <w:r w:rsidR="007C62D9">
        <w:t xml:space="preserve"> </w:t>
      </w:r>
      <w:proofErr w:type="spellStart"/>
      <w:r w:rsidR="007C62D9">
        <w:t>East</w:t>
      </w:r>
      <w:proofErr w:type="spellEnd"/>
      <w:r w:rsidR="007C62D9">
        <w:t xml:space="preserve"> J. </w:t>
      </w:r>
      <w:proofErr w:type="spellStart"/>
      <w:r w:rsidR="007C62D9">
        <w:t>Math</w:t>
      </w:r>
      <w:proofErr w:type="spellEnd"/>
      <w:r w:rsidR="007C62D9">
        <w:t xml:space="preserve">. </w:t>
      </w:r>
      <w:proofErr w:type="spellStart"/>
      <w:r w:rsidR="007C62D9">
        <w:t>Sci</w:t>
      </w:r>
      <w:proofErr w:type="spellEnd"/>
      <w:r w:rsidR="007C62D9">
        <w:t xml:space="preserve">. (2021), </w:t>
      </w:r>
      <w:r w:rsidR="007C62D9">
        <w:rPr>
          <w:sz w:val="20"/>
          <w:szCs w:val="20"/>
        </w:rPr>
        <w:t xml:space="preserve">които засягат слабо </w:t>
      </w:r>
      <w:proofErr w:type="spellStart"/>
      <w:r w:rsidR="007C62D9">
        <w:rPr>
          <w:sz w:val="20"/>
          <w:szCs w:val="20"/>
        </w:rPr>
        <w:t>инволютивно</w:t>
      </w:r>
      <w:proofErr w:type="spellEnd"/>
      <w:r w:rsidR="007C62D9">
        <w:rPr>
          <w:sz w:val="20"/>
          <w:szCs w:val="20"/>
        </w:rPr>
        <w:t xml:space="preserve">-чистите пръстени, които са снабдени само с обикновена </w:t>
      </w:r>
      <w:proofErr w:type="spellStart"/>
      <w:r w:rsidR="007C62D9">
        <w:rPr>
          <w:sz w:val="20"/>
          <w:szCs w:val="20"/>
        </w:rPr>
        <w:t>инволюция</w:t>
      </w:r>
      <w:proofErr w:type="spellEnd"/>
      <w:r w:rsidR="007C62D9">
        <w:rPr>
          <w:sz w:val="20"/>
          <w:szCs w:val="20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cs="CMR10"/>
          <w:sz w:val="20"/>
          <w:szCs w:val="20"/>
          <w:lang w:val="en-US"/>
        </w:rPr>
        <w:t xml:space="preserve">[14] </w:t>
      </w:r>
      <w:r>
        <w:t xml:space="preserve">P. V. </w:t>
      </w:r>
      <w:proofErr w:type="spellStart"/>
      <w:r>
        <w:t>Danchev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J. </w:t>
      </w:r>
      <w:proofErr w:type="spellStart"/>
      <w:r>
        <w:t>Cui</w:t>
      </w:r>
      <w:proofErr w:type="spellEnd"/>
      <w:r>
        <w:t xml:space="preserve">, </w:t>
      </w:r>
      <w:proofErr w:type="spellStart"/>
      <w:r w:rsidRPr="00F573FF">
        <w:rPr>
          <w:i/>
        </w:rPr>
        <w:t>On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strongly</w:t>
      </w:r>
      <w:proofErr w:type="spellEnd"/>
      <w:r w:rsidRPr="00F573FF">
        <w:rPr>
          <w:i/>
        </w:rPr>
        <w:t xml:space="preserve"> π-</w:t>
      </w:r>
      <w:proofErr w:type="spellStart"/>
      <w:r w:rsidRPr="00F573FF">
        <w:rPr>
          <w:i/>
        </w:rPr>
        <w:t>regular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with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involution</w:t>
      </w:r>
      <w:proofErr w:type="spellEnd"/>
      <w:r>
        <w:t xml:space="preserve">, </w:t>
      </w:r>
      <w:proofErr w:type="spellStart"/>
      <w:r>
        <w:t>Commun</w:t>
      </w:r>
      <w:proofErr w:type="spellEnd"/>
      <w:r>
        <w:t xml:space="preserve">. </w:t>
      </w:r>
      <w:proofErr w:type="spellStart"/>
      <w:r>
        <w:t>Math</w:t>
      </w:r>
      <w:proofErr w:type="spellEnd"/>
      <w:r>
        <w:t xml:space="preserve">. (1) </w:t>
      </w:r>
      <w:r w:rsidRPr="00F573FF">
        <w:rPr>
          <w:b/>
        </w:rPr>
        <w:t>31</w:t>
      </w:r>
      <w:r>
        <w:t xml:space="preserve"> (2023), 73-80</w:t>
      </w:r>
      <w:r>
        <w:rPr>
          <w:lang w:val="en-US"/>
        </w:rPr>
        <w:t>.</w:t>
      </w:r>
    </w:p>
    <w:p w:rsidR="00D56630" w:rsidRDefault="00D56630" w:rsidP="00D56630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9601C8" w:rsidRPr="00260EFA" w:rsidRDefault="00D56630" w:rsidP="009601C8">
      <w:pPr>
        <w:jc w:val="both"/>
        <w:rPr>
          <w:rFonts w:cs="CMR10"/>
          <w:sz w:val="20"/>
          <w:szCs w:val="20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 w:rsidR="009601C8">
        <w:rPr>
          <w:b/>
          <w:caps/>
          <w:sz w:val="24"/>
          <w:szCs w:val="24"/>
        </w:rPr>
        <w:t xml:space="preserve"> </w:t>
      </w:r>
      <w:r w:rsidR="009601C8">
        <w:rPr>
          <w:rFonts w:cs="CMR10"/>
          <w:sz w:val="20"/>
          <w:szCs w:val="20"/>
        </w:rPr>
        <w:t xml:space="preserve">Изчерпателно изследване на </w:t>
      </w:r>
      <w:r w:rsidR="009601C8">
        <w:rPr>
          <w:rFonts w:cstheme="minorHAnsi"/>
          <w:sz w:val="20"/>
          <w:szCs w:val="20"/>
        </w:rPr>
        <w:t>*</w:t>
      </w:r>
      <w:r w:rsidR="009601C8">
        <w:rPr>
          <w:rFonts w:cs="CMR10"/>
          <w:sz w:val="20"/>
          <w:szCs w:val="20"/>
        </w:rPr>
        <w:t>-</w:t>
      </w:r>
      <w:r w:rsidR="009601C8">
        <w:rPr>
          <w:rFonts w:cstheme="minorHAnsi"/>
          <w:sz w:val="20"/>
          <w:szCs w:val="20"/>
        </w:rPr>
        <w:t>π</w:t>
      </w:r>
      <w:r w:rsidR="009601C8">
        <w:rPr>
          <w:rFonts w:cs="CMR10"/>
          <w:sz w:val="20"/>
          <w:szCs w:val="20"/>
        </w:rPr>
        <w:t xml:space="preserve">-регулярните пръстени е дадено, като са обобщени различни добре известни резултати, съответно от </w:t>
      </w:r>
      <w:proofErr w:type="spellStart"/>
      <w:r w:rsidR="009601C8" w:rsidRPr="001B14C2">
        <w:rPr>
          <w:rFonts w:cstheme="minorHAnsi"/>
        </w:rPr>
        <w:t>Cui-Wang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in</w:t>
      </w:r>
      <w:proofErr w:type="spellEnd"/>
      <w:r w:rsidR="009601C8" w:rsidRPr="001B14C2">
        <w:rPr>
          <w:rFonts w:cstheme="minorHAnsi"/>
        </w:rPr>
        <w:t xml:space="preserve"> J. </w:t>
      </w:r>
      <w:proofErr w:type="spellStart"/>
      <w:r w:rsidR="009601C8" w:rsidRPr="001B14C2">
        <w:rPr>
          <w:rFonts w:cstheme="minorHAnsi"/>
        </w:rPr>
        <w:t>Korean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Math</w:t>
      </w:r>
      <w:proofErr w:type="spellEnd"/>
      <w:r w:rsidR="009601C8" w:rsidRPr="001B14C2">
        <w:rPr>
          <w:rFonts w:cstheme="minorHAnsi"/>
        </w:rPr>
        <w:t>.</w:t>
      </w:r>
      <w:r w:rsidR="009601C8">
        <w:rPr>
          <w:rFonts w:cstheme="minorHAnsi"/>
          <w:lang w:val="en-US"/>
        </w:rPr>
        <w:t xml:space="preserve"> </w:t>
      </w:r>
      <w:proofErr w:type="spellStart"/>
      <w:r w:rsidR="009601C8" w:rsidRPr="001B14C2">
        <w:rPr>
          <w:rFonts w:cstheme="minorHAnsi"/>
        </w:rPr>
        <w:t>Soc</w:t>
      </w:r>
      <w:proofErr w:type="spellEnd"/>
      <w:r w:rsidR="009601C8" w:rsidRPr="001B14C2">
        <w:rPr>
          <w:rFonts w:cstheme="minorHAnsi"/>
        </w:rPr>
        <w:t>. (2015)</w:t>
      </w:r>
      <w:r w:rsidR="009601C8">
        <w:rPr>
          <w:rFonts w:cstheme="minorHAnsi"/>
        </w:rPr>
        <w:t xml:space="preserve">, </w:t>
      </w:r>
      <w:proofErr w:type="spellStart"/>
      <w:r w:rsidR="009601C8" w:rsidRPr="001B14C2">
        <w:rPr>
          <w:rFonts w:cstheme="minorHAnsi"/>
        </w:rPr>
        <w:t>Cui-Yin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in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Algebra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Colloq</w:t>
      </w:r>
      <w:proofErr w:type="spellEnd"/>
      <w:r w:rsidR="009601C8" w:rsidRPr="001B14C2">
        <w:rPr>
          <w:rFonts w:cstheme="minorHAnsi"/>
        </w:rPr>
        <w:t>.</w:t>
      </w:r>
      <w:r w:rsidR="009601C8">
        <w:rPr>
          <w:rFonts w:cstheme="minorHAnsi"/>
          <w:lang w:val="en-US"/>
        </w:rPr>
        <w:t xml:space="preserve"> </w:t>
      </w:r>
      <w:r w:rsidR="009601C8" w:rsidRPr="001B14C2">
        <w:rPr>
          <w:rFonts w:cstheme="minorHAnsi"/>
        </w:rPr>
        <w:t>(2018)</w:t>
      </w:r>
      <w:r w:rsidR="009601C8">
        <w:rPr>
          <w:rFonts w:cstheme="minorHAnsi"/>
        </w:rPr>
        <w:t xml:space="preserve"> и </w:t>
      </w:r>
      <w:proofErr w:type="spellStart"/>
      <w:r w:rsidR="009601C8" w:rsidRPr="001B14C2">
        <w:rPr>
          <w:rFonts w:cstheme="minorHAnsi"/>
        </w:rPr>
        <w:t>Cui-Danchev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in</w:t>
      </w:r>
      <w:proofErr w:type="spellEnd"/>
      <w:r w:rsidR="009601C8" w:rsidRPr="001B14C2">
        <w:rPr>
          <w:rFonts w:cstheme="minorHAnsi"/>
        </w:rPr>
        <w:t xml:space="preserve"> J. </w:t>
      </w:r>
      <w:proofErr w:type="spellStart"/>
      <w:r w:rsidR="009601C8" w:rsidRPr="001B14C2">
        <w:rPr>
          <w:rFonts w:cstheme="minorHAnsi"/>
        </w:rPr>
        <w:t>Algebra</w:t>
      </w:r>
      <w:proofErr w:type="spellEnd"/>
      <w:r w:rsidR="009601C8" w:rsidRPr="001B14C2">
        <w:rPr>
          <w:rFonts w:cstheme="minorHAnsi"/>
        </w:rPr>
        <w:t xml:space="preserve"> </w:t>
      </w:r>
      <w:proofErr w:type="spellStart"/>
      <w:r w:rsidR="009601C8" w:rsidRPr="001B14C2">
        <w:rPr>
          <w:rFonts w:cstheme="minorHAnsi"/>
        </w:rPr>
        <w:t>Appl</w:t>
      </w:r>
      <w:proofErr w:type="spellEnd"/>
      <w:r w:rsidR="009601C8" w:rsidRPr="001B14C2">
        <w:rPr>
          <w:rFonts w:cstheme="minorHAnsi"/>
        </w:rPr>
        <w:t>.</w:t>
      </w:r>
      <w:r w:rsidR="009601C8">
        <w:rPr>
          <w:rFonts w:cstheme="minorHAnsi"/>
          <w:lang w:val="en-US"/>
        </w:rPr>
        <w:t xml:space="preserve"> </w:t>
      </w:r>
      <w:r w:rsidR="009601C8" w:rsidRPr="001B14C2">
        <w:rPr>
          <w:rFonts w:cstheme="minorHAnsi"/>
        </w:rPr>
        <w:t>(2020).</w:t>
      </w:r>
    </w:p>
    <w:p w:rsidR="00D56630" w:rsidRPr="00C472B2" w:rsidRDefault="00D56630" w:rsidP="00D56630">
      <w:pPr>
        <w:shd w:val="clear" w:color="auto" w:fill="FFFFFF"/>
        <w:spacing w:after="0" w:line="0" w:lineRule="auto"/>
        <w:rPr>
          <w:rFonts w:ascii="pg-1ff12d" w:eastAsia="Times New Roman" w:hAnsi="pg-1ff12d" w:cs="Times New Roman"/>
          <w:color w:val="231F20"/>
          <w:sz w:val="42"/>
          <w:szCs w:val="42"/>
          <w:lang w:eastAsia="bg-BG"/>
        </w:rPr>
      </w:pPr>
    </w:p>
    <w:p w:rsidR="00D56630" w:rsidRPr="00C472B2" w:rsidRDefault="00D56630" w:rsidP="00D56630">
      <w:pPr>
        <w:shd w:val="clear" w:color="auto" w:fill="FFFFFF"/>
        <w:spacing w:after="0" w:line="0" w:lineRule="auto"/>
        <w:rPr>
          <w:rFonts w:ascii="pg-1ff12c" w:eastAsia="Times New Roman" w:hAnsi="pg-1ff12c" w:cs="Times New Roman"/>
          <w:color w:val="231F20"/>
          <w:sz w:val="60"/>
          <w:szCs w:val="60"/>
          <w:lang w:eastAsia="bg-BG"/>
        </w:rPr>
      </w:pPr>
      <w:r w:rsidRPr="00C472B2">
        <w:rPr>
          <w:rFonts w:ascii="pg-1ff12c" w:eastAsia="Times New Roman" w:hAnsi="pg-1ff12c" w:cs="Times New Roman"/>
          <w:color w:val="231F20"/>
          <w:sz w:val="60"/>
          <w:szCs w:val="60"/>
          <w:lang w:eastAsia="bg-BG"/>
        </w:rPr>
        <w:t xml:space="preserve">− </w:t>
      </w:r>
      <w:r w:rsidRPr="00C472B2">
        <w:rPr>
          <w:rFonts w:ascii="pg-1ff128" w:eastAsia="Times New Roman" w:hAnsi="pg-1ff128" w:cs="Times New Roman"/>
          <w:color w:val="231F20"/>
          <w:sz w:val="60"/>
          <w:szCs w:val="60"/>
          <w:lang w:eastAsia="bg-BG"/>
        </w:rPr>
        <w:t xml:space="preserve">x </w:t>
      </w:r>
      <w:proofErr w:type="spellStart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>nilp</w:t>
      </w:r>
      <w:proofErr w:type="spellEnd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 xml:space="preserve"> </w:t>
      </w:r>
      <w:proofErr w:type="spellStart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>otent</w:t>
      </w:r>
      <w:proofErr w:type="spellEnd"/>
    </w:p>
    <w:p w:rsidR="00D56630" w:rsidRPr="002F24EF" w:rsidRDefault="00D56630" w:rsidP="00D56630">
      <w:pPr>
        <w:autoSpaceDE w:val="0"/>
        <w:autoSpaceDN w:val="0"/>
        <w:adjustRightInd w:val="0"/>
        <w:rPr>
          <w:rFonts w:cs="CMR10"/>
          <w:sz w:val="20"/>
          <w:szCs w:val="20"/>
        </w:rPr>
      </w:pPr>
      <w:r>
        <w:rPr>
          <w:caps/>
          <w:sz w:val="24"/>
          <w:szCs w:val="24"/>
          <w:lang w:val="en-US"/>
        </w:rPr>
        <w:t xml:space="preserve">[15] </w:t>
      </w:r>
      <w:r>
        <w:t xml:space="preserve">P. V. </w:t>
      </w:r>
      <w:proofErr w:type="spellStart"/>
      <w:r>
        <w:t>Danchev</w:t>
      </w:r>
      <w:proofErr w:type="spellEnd"/>
      <w:r w:rsidRPr="00F573FF">
        <w:rPr>
          <w:i/>
        </w:rPr>
        <w:t xml:space="preserve">, A </w:t>
      </w:r>
      <w:proofErr w:type="spellStart"/>
      <w:r w:rsidRPr="00F573FF">
        <w:rPr>
          <w:i/>
        </w:rPr>
        <w:t>symmetric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generalization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of</w:t>
      </w:r>
      <w:proofErr w:type="spellEnd"/>
      <w:r w:rsidRPr="00F573FF">
        <w:rPr>
          <w:i/>
        </w:rPr>
        <w:t xml:space="preserve"> π-</w:t>
      </w:r>
      <w:proofErr w:type="spellStart"/>
      <w:r w:rsidRPr="00F573FF">
        <w:rPr>
          <w:i/>
        </w:rPr>
        <w:t>regular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>
        <w:t xml:space="preserve">, </w:t>
      </w:r>
      <w:proofErr w:type="spellStart"/>
      <w:r>
        <w:t>Ric</w:t>
      </w:r>
      <w:proofErr w:type="spellEnd"/>
      <w:r>
        <w:t xml:space="preserve">. </w:t>
      </w:r>
      <w:proofErr w:type="spellStart"/>
      <w:r>
        <w:t>Mat</w:t>
      </w:r>
      <w:proofErr w:type="spellEnd"/>
      <w:r>
        <w:t>. (</w:t>
      </w:r>
      <w:r>
        <w:rPr>
          <w:lang w:val="en-US"/>
        </w:rPr>
        <w:t>1)</w:t>
      </w:r>
      <w:r>
        <w:t xml:space="preserve"> </w:t>
      </w:r>
      <w:r w:rsidRPr="00F573FF">
        <w:rPr>
          <w:b/>
        </w:rPr>
        <w:t>73</w:t>
      </w:r>
      <w:r>
        <w:t xml:space="preserve"> (2024).</w:t>
      </w:r>
    </w:p>
    <w:p w:rsidR="00D56630" w:rsidRDefault="00D56630" w:rsidP="00D56630">
      <w:pPr>
        <w:rPr>
          <w:sz w:val="56"/>
          <w:szCs w:val="56"/>
          <w:bdr w:val="none" w:sz="0" w:space="0" w:color="auto" w:frame="1"/>
        </w:rPr>
      </w:pPr>
      <w:r>
        <w:rPr>
          <w:b/>
          <w:caps/>
          <w:sz w:val="24"/>
          <w:szCs w:val="24"/>
        </w:rPr>
        <w:t>РЕЗЮМЕ</w:t>
      </w:r>
      <w:r w:rsidRPr="00604AB5">
        <w:rPr>
          <w:b/>
          <w:caps/>
          <w:sz w:val="24"/>
          <w:szCs w:val="24"/>
          <w:lang w:val="en-US"/>
        </w:rPr>
        <w:t>:</w:t>
      </w:r>
      <w:r>
        <w:rPr>
          <w:b/>
          <w:caps/>
          <w:sz w:val="24"/>
          <w:szCs w:val="24"/>
          <w:lang w:val="en-US"/>
        </w:rPr>
        <w:t xml:space="preserve"> </w:t>
      </w:r>
      <w:r w:rsidR="00B70EF3">
        <w:rPr>
          <w:rFonts w:cs="CMR10"/>
          <w:sz w:val="20"/>
          <w:szCs w:val="20"/>
        </w:rPr>
        <w:t xml:space="preserve">Изследвани са някои нетривиални обобщения на класическите регулярни и </w:t>
      </w:r>
      <w:r w:rsidR="00B70EF3">
        <w:rPr>
          <w:rFonts w:cstheme="minorHAnsi"/>
          <w:sz w:val="20"/>
          <w:szCs w:val="20"/>
        </w:rPr>
        <w:t>π</w:t>
      </w:r>
      <w:r w:rsidR="00B70EF3">
        <w:rPr>
          <w:rFonts w:cs="CMR10"/>
          <w:sz w:val="20"/>
          <w:szCs w:val="20"/>
        </w:rPr>
        <w:t>-регулярни пръстени. Получени са окончателни резултати в характеризирането на т.н. „</w:t>
      </w:r>
      <w:r w:rsidR="00B70EF3" w:rsidRPr="00AD73F8">
        <w:rPr>
          <w:rFonts w:cs="CMR10"/>
          <w:i/>
          <w:sz w:val="20"/>
          <w:szCs w:val="20"/>
        </w:rPr>
        <w:t xml:space="preserve">регулярни </w:t>
      </w:r>
      <w:proofErr w:type="spellStart"/>
      <w:r w:rsidR="00B70EF3" w:rsidRPr="00AD73F8">
        <w:rPr>
          <w:rFonts w:cs="CMR10"/>
          <w:i/>
          <w:sz w:val="20"/>
          <w:szCs w:val="20"/>
        </w:rPr>
        <w:t>нил</w:t>
      </w:r>
      <w:proofErr w:type="spellEnd"/>
      <w:r w:rsidR="00B70EF3" w:rsidRPr="00AD73F8">
        <w:rPr>
          <w:rFonts w:cs="CMR10"/>
          <w:i/>
          <w:sz w:val="20"/>
          <w:szCs w:val="20"/>
        </w:rPr>
        <w:t>-чисти пръстени</w:t>
      </w:r>
      <w:r w:rsidR="00B70EF3">
        <w:rPr>
          <w:rFonts w:cs="CMR10"/>
          <w:sz w:val="20"/>
          <w:szCs w:val="20"/>
        </w:rPr>
        <w:t>“ и е направена връзка с добре известните „</w:t>
      </w:r>
      <w:proofErr w:type="spellStart"/>
      <w:r w:rsidR="00B70EF3" w:rsidRPr="00AD73F8">
        <w:rPr>
          <w:rFonts w:cs="CMR10"/>
          <w:i/>
          <w:sz w:val="20"/>
          <w:szCs w:val="20"/>
        </w:rPr>
        <w:t>нил</w:t>
      </w:r>
      <w:proofErr w:type="spellEnd"/>
      <w:r w:rsidR="00B70EF3" w:rsidRPr="00AD73F8">
        <w:rPr>
          <w:rFonts w:cs="CMR10"/>
          <w:i/>
          <w:sz w:val="20"/>
          <w:szCs w:val="20"/>
        </w:rPr>
        <w:t>-чисти</w:t>
      </w:r>
      <w:r w:rsidR="00B70EF3">
        <w:rPr>
          <w:rFonts w:cs="CMR10"/>
          <w:sz w:val="20"/>
          <w:szCs w:val="20"/>
        </w:rPr>
        <w:t>“ пръстени, въведени от американския математик Джеймс Дизел през 2013г.</w:t>
      </w:r>
    </w:p>
    <w:p w:rsidR="00F149D1" w:rsidRDefault="00F149D1" w:rsidP="00F149D1">
      <w:pPr>
        <w:jc w:val="both"/>
        <w:rPr>
          <w:sz w:val="56"/>
          <w:szCs w:val="56"/>
          <w:bdr w:val="none" w:sz="0" w:space="0" w:color="auto" w:frame="1"/>
        </w:rPr>
      </w:pPr>
    </w:p>
    <w:p w:rsidR="00A77681" w:rsidRDefault="00A77681" w:rsidP="00A77681">
      <w:pPr>
        <w:jc w:val="both"/>
        <w:rPr>
          <w:rFonts w:cs="CMR10"/>
          <w:sz w:val="20"/>
          <w:szCs w:val="20"/>
        </w:rPr>
      </w:pPr>
    </w:p>
    <w:sectPr w:rsidR="00A77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MBX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g-1ff12d">
    <w:altName w:val="Times New Roman"/>
    <w:panose1 w:val="00000000000000000000"/>
    <w:charset w:val="00"/>
    <w:family w:val="roman"/>
    <w:notTrueType/>
    <w:pitch w:val="default"/>
  </w:font>
  <w:font w:name="pg-1ff12c">
    <w:altName w:val="Times New Roman"/>
    <w:panose1 w:val="00000000000000000000"/>
    <w:charset w:val="00"/>
    <w:family w:val="roman"/>
    <w:notTrueType/>
    <w:pitch w:val="default"/>
  </w:font>
  <w:font w:name="pg-1ff128">
    <w:altName w:val="Times New Roman"/>
    <w:panose1 w:val="00000000000000000000"/>
    <w:charset w:val="00"/>
    <w:family w:val="roman"/>
    <w:notTrueType/>
    <w:pitch w:val="default"/>
  </w:font>
  <w:font w:name="pg-1ff11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D1"/>
    <w:rsid w:val="000903CE"/>
    <w:rsid w:val="000B6D7F"/>
    <w:rsid w:val="000C709B"/>
    <w:rsid w:val="000D1C6B"/>
    <w:rsid w:val="000E561D"/>
    <w:rsid w:val="00174C56"/>
    <w:rsid w:val="00192B17"/>
    <w:rsid w:val="001A37AF"/>
    <w:rsid w:val="001B36ED"/>
    <w:rsid w:val="001D7149"/>
    <w:rsid w:val="001E357C"/>
    <w:rsid w:val="001F68FE"/>
    <w:rsid w:val="00234E9E"/>
    <w:rsid w:val="00260EFA"/>
    <w:rsid w:val="00275E30"/>
    <w:rsid w:val="002950CA"/>
    <w:rsid w:val="002A3121"/>
    <w:rsid w:val="002C4BFD"/>
    <w:rsid w:val="00387485"/>
    <w:rsid w:val="003D5383"/>
    <w:rsid w:val="003E3325"/>
    <w:rsid w:val="00411D41"/>
    <w:rsid w:val="00424A09"/>
    <w:rsid w:val="0043608F"/>
    <w:rsid w:val="004557F5"/>
    <w:rsid w:val="00456A49"/>
    <w:rsid w:val="00524316"/>
    <w:rsid w:val="005C62E0"/>
    <w:rsid w:val="006E7E3A"/>
    <w:rsid w:val="006F4B5F"/>
    <w:rsid w:val="00705227"/>
    <w:rsid w:val="00712EB1"/>
    <w:rsid w:val="007B0D8F"/>
    <w:rsid w:val="007B22A8"/>
    <w:rsid w:val="007C62D9"/>
    <w:rsid w:val="008D3754"/>
    <w:rsid w:val="00902679"/>
    <w:rsid w:val="009035F8"/>
    <w:rsid w:val="0095648E"/>
    <w:rsid w:val="009601C8"/>
    <w:rsid w:val="00993918"/>
    <w:rsid w:val="00A1706F"/>
    <w:rsid w:val="00A4309D"/>
    <w:rsid w:val="00A54428"/>
    <w:rsid w:val="00A757BF"/>
    <w:rsid w:val="00A77681"/>
    <w:rsid w:val="00AD73F8"/>
    <w:rsid w:val="00B40247"/>
    <w:rsid w:val="00B4354D"/>
    <w:rsid w:val="00B63DC4"/>
    <w:rsid w:val="00B70EF3"/>
    <w:rsid w:val="00B7396E"/>
    <w:rsid w:val="00B9720C"/>
    <w:rsid w:val="00BE09B6"/>
    <w:rsid w:val="00C007FB"/>
    <w:rsid w:val="00C0689F"/>
    <w:rsid w:val="00C64182"/>
    <w:rsid w:val="00C9233A"/>
    <w:rsid w:val="00CF4845"/>
    <w:rsid w:val="00D56630"/>
    <w:rsid w:val="00D660D8"/>
    <w:rsid w:val="00D9207D"/>
    <w:rsid w:val="00DB0B1D"/>
    <w:rsid w:val="00E27787"/>
    <w:rsid w:val="00EA72A9"/>
    <w:rsid w:val="00ED4BC6"/>
    <w:rsid w:val="00F03248"/>
    <w:rsid w:val="00F149D1"/>
    <w:rsid w:val="00F20D94"/>
    <w:rsid w:val="00FC6EBE"/>
    <w:rsid w:val="00FD4271"/>
    <w:rsid w:val="00FD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DE2B"/>
  <w15:chartTrackingRefBased/>
  <w15:docId w15:val="{38CA0767-54B3-45A3-B39E-9D224AA2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2023-09-28T15:32:00Z</dcterms:created>
  <dcterms:modified xsi:type="dcterms:W3CDTF">2023-10-02T14:18:00Z</dcterms:modified>
</cp:coreProperties>
</file>